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ss1917856_8k.htm"/>
      <w:bookmarkStart w:id="1" w:name="ksss1917856_8k"/>
      <w:bookmarkEnd w:id="0"/>
      <w:bookmarkEnd w:id="1"/>
      <w:r>
        <w:rPr>
          <w:bdr w:val="single" w:sz="16" w:space="1" w:color="000000"/>
        </w:rPr>
        <w:t> </w:t>
      </w:r>
    </w:p>
    <w:p>
      <w:pPr>
        <w:pStyle w:val="TextBody"/>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D_edei--DocumentType_c20230328__20"/>
      <w:bookmarkEnd w:id="2"/>
      <w:r>
        <w:rPr>
          <w:rFonts w:ascii="Times New Roman;Times;Serif" w:hAnsi="Times New Roman;Times;Serif"/>
          <w:b/>
          <w:i w:val="false"/>
          <w:caps w:val="false"/>
          <w:smallCaps w:val="false"/>
          <w:sz w:val="32"/>
        </w:rPr>
        <w:t>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March 28, 2023</w:t>
      </w:r>
    </w:p>
    <w:p>
      <w:pPr>
        <w:pStyle w:val="TextBody"/>
        <w:jc w:val="center"/>
        <w:rPr>
          <w:caps w:val="false"/>
          <w:smallCaps w:val="false"/>
        </w:rPr>
      </w:pPr>
      <w:r>
        <w:rPr>
          <w:caps w:val="false"/>
          <w:smallCaps w:val="false"/>
        </w:rPr>
        <w:t> </w:t>
      </w:r>
    </w:p>
    <w:p>
      <w:pPr>
        <w:pStyle w:val="TextBody"/>
        <w:pBdr>
          <w:bottom w:val="single" w:sz="8" w:space="1" w:color="000000"/>
        </w:pBdr>
        <w:jc w:val="center"/>
        <w:rPr>
          <w:rFonts w:ascii="Times New Roman;Times;Serif" w:hAnsi="Times New Roman;Times;Serif"/>
          <w:b/>
          <w:i w:val="false"/>
          <w:caps w:val="false"/>
          <w:smallCaps w:val="false"/>
          <w:sz w:val="32"/>
        </w:rPr>
      </w:pPr>
      <w:bookmarkStart w:id="4" w:name="xdx_904_edei--EntityRegistrantName_c2023"/>
      <w:bookmarkEnd w:id="4"/>
      <w:r>
        <w:rPr>
          <w:rFonts w:ascii="Times New Roman;Times;Serif" w:hAnsi="Times New Roman;Times;Serif"/>
          <w:b/>
          <w:i w:val="false"/>
          <w:caps w:val="false"/>
          <w:smallCaps w:val="false"/>
          <w:sz w:val="32"/>
        </w:rPr>
        <w:t>AEYE,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7275" w:type="dxa"/>
        <w:jc w:val="left"/>
        <w:tblInd w:w="0" w:type="dxa"/>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shd w:fill="auto" w:val="clear"/>
            <w:vAlign w:val="center"/>
          </w:tcPr>
          <w:p>
            <w:pPr>
              <w:pStyle w:val="TableContents"/>
              <w:spacing w:lineRule="auto" w:line="276" w:before="0" w:after="283"/>
              <w:jc w:val="center"/>
              <w:rPr>
                <w:b/>
                <w:sz w:val="20"/>
              </w:rPr>
            </w:pPr>
            <w:bookmarkStart w:id="5" w:name="xdx_90D_edei--EntityIncorporationStateCo"/>
            <w:bookmarkEnd w:id="5"/>
            <w:r>
              <w:rPr>
                <w:b/>
                <w:sz w:val="20"/>
              </w:rPr>
              <w:t>Delaware</w:t>
            </w:r>
          </w:p>
        </w:tc>
        <w:tc>
          <w:tcPr>
            <w:tcW w:w="60" w:type="dxa"/>
            <w:tcBorders/>
            <w:shd w:fill="auto" w:val="clear"/>
            <w:tcMar>
              <w:bottom w:w="0" w:type="dxa"/>
            </w:tcMar>
            <w:vAlign w:val="center"/>
          </w:tcPr>
          <w:p>
            <w:pPr>
              <w:pStyle w:val="TableContents"/>
              <w:spacing w:lineRule="auto" w:line="276" w:before="0" w:after="283"/>
              <w:rPr/>
            </w:pPr>
            <w:r>
              <w:rPr/>
              <w:t> </w:t>
            </w:r>
          </w:p>
        </w:tc>
        <w:tc>
          <w:tcPr>
            <w:tcW w:w="2210" w:type="dxa"/>
            <w:tcBorders>
              <w:bottom w:val="single" w:sz="8" w:space="0" w:color="000000"/>
            </w:tcBorders>
            <w:shd w:fill="auto" w:val="clear"/>
            <w:vAlign w:val="center"/>
          </w:tcPr>
          <w:p>
            <w:pPr>
              <w:pStyle w:val="TableContents"/>
              <w:spacing w:lineRule="auto" w:line="276" w:before="0" w:after="283"/>
              <w:jc w:val="center"/>
              <w:rPr>
                <w:b/>
                <w:sz w:val="20"/>
              </w:rPr>
            </w:pPr>
            <w:bookmarkStart w:id="6" w:name="xdx_908_edei--EntityFileNumber_c20230328"/>
            <w:bookmarkEnd w:id="6"/>
            <w:r>
              <w:rPr>
                <w:b/>
                <w:sz w:val="20"/>
              </w:rPr>
              <w:t>001-39699</w:t>
            </w:r>
          </w:p>
        </w:tc>
        <w:tc>
          <w:tcPr>
            <w:tcW w:w="60" w:type="dxa"/>
            <w:tcBorders/>
            <w:shd w:fill="auto" w:val="clear"/>
            <w:tcMar>
              <w:bottom w:w="0" w:type="dxa"/>
            </w:tcMar>
            <w:vAlign w:val="center"/>
          </w:tcPr>
          <w:p>
            <w:pPr>
              <w:pStyle w:val="TableContents"/>
              <w:spacing w:lineRule="auto" w:line="276" w:before="0" w:after="283"/>
              <w:rPr/>
            </w:pPr>
            <w:r>
              <w:rPr/>
              <w:t> </w:t>
            </w:r>
          </w:p>
        </w:tc>
        <w:tc>
          <w:tcPr>
            <w:tcW w:w="2780" w:type="dxa"/>
            <w:tcBorders>
              <w:bottom w:val="single" w:sz="8" w:space="0" w:color="000000"/>
            </w:tcBorders>
            <w:shd w:fill="auto" w:val="clear"/>
            <w:vAlign w:val="center"/>
          </w:tcPr>
          <w:p>
            <w:pPr>
              <w:pStyle w:val="TableContents"/>
              <w:spacing w:lineRule="auto" w:line="276" w:before="0" w:after="283"/>
              <w:jc w:val="center"/>
              <w:rPr>
                <w:b/>
                <w:sz w:val="20"/>
              </w:rPr>
            </w:pPr>
            <w:bookmarkStart w:id="7" w:name="xdx_90B_edei--EntityTaxIdentificationNum"/>
            <w:bookmarkEnd w:id="7"/>
            <w:r>
              <w:rPr>
                <w:b/>
                <w:sz w:val="20"/>
              </w:rPr>
              <w:t>37-1827430</w:t>
            </w:r>
          </w:p>
        </w:tc>
      </w:tr>
      <w:tr>
        <w:trPr/>
        <w:tc>
          <w:tcPr>
            <w:tcW w:w="2165" w:type="dxa"/>
            <w:tcBorders/>
            <w:shd w:fill="auto" w:val="clear"/>
            <w:tcMar>
              <w:bottom w:w="0" w:type="dxa"/>
            </w:tcMar>
            <w:vAlign w:val="center"/>
          </w:tcPr>
          <w:p>
            <w:pPr>
              <w:pStyle w:val="TableContents"/>
              <w:spacing w:lineRule="auto" w:line="276" w:before="0" w:after="283"/>
              <w:jc w:val="center"/>
              <w:rPr>
                <w:sz w:val="20"/>
              </w:rPr>
            </w:pPr>
            <w:r>
              <w:rPr>
                <w:sz w:val="20"/>
              </w:rPr>
              <w:t>(State or other jurisdiction</w:t>
            </w:r>
          </w:p>
        </w:tc>
        <w:tc>
          <w:tcPr>
            <w:tcW w:w="60" w:type="dxa"/>
            <w:tcBorders/>
            <w:shd w:fill="auto" w:val="clear"/>
            <w:tcMar>
              <w:bottom w:w="0" w:type="dxa"/>
            </w:tcMar>
            <w:vAlign w:val="center"/>
          </w:tcPr>
          <w:p>
            <w:pPr>
              <w:pStyle w:val="TableContents"/>
              <w:spacing w:lineRule="auto" w:line="276" w:before="0" w:after="283"/>
              <w:rPr/>
            </w:pPr>
            <w:r>
              <w:rPr/>
              <w:t> </w:t>
            </w:r>
          </w:p>
        </w:tc>
        <w:tc>
          <w:tcPr>
            <w:tcW w:w="2210" w:type="dxa"/>
            <w:tcBorders/>
            <w:shd w:fill="auto" w:val="clear"/>
            <w:tcMar>
              <w:bottom w:w="0" w:type="dxa"/>
            </w:tcMar>
            <w:vAlign w:val="center"/>
          </w:tcPr>
          <w:p>
            <w:pPr>
              <w:pStyle w:val="TableContents"/>
              <w:spacing w:lineRule="auto" w:line="276"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lineRule="auto" w:line="276" w:before="0" w:after="283"/>
              <w:rPr/>
            </w:pPr>
            <w:r>
              <w:rPr/>
              <w:t> </w:t>
            </w:r>
          </w:p>
        </w:tc>
        <w:tc>
          <w:tcPr>
            <w:tcW w:w="2780" w:type="dxa"/>
            <w:tcBorders/>
            <w:shd w:fill="auto" w:val="clear"/>
            <w:tcMar>
              <w:bottom w:w="0" w:type="dxa"/>
            </w:tcMar>
            <w:vAlign w:val="center"/>
          </w:tcPr>
          <w:p>
            <w:pPr>
              <w:pStyle w:val="TableContents"/>
              <w:spacing w:lineRule="auto" w:line="276" w:before="0" w:after="283"/>
              <w:jc w:val="center"/>
              <w:rPr>
                <w:sz w:val="20"/>
              </w:rPr>
            </w:pPr>
            <w:r>
              <w:rPr>
                <w:sz w:val="20"/>
              </w:rPr>
              <w:t>(IRS Employer Identification No.)</w:t>
            </w:r>
          </w:p>
        </w:tc>
      </w:tr>
      <w:tr>
        <w:trPr/>
        <w:tc>
          <w:tcPr>
            <w:tcW w:w="2165" w:type="dxa"/>
            <w:tcBorders/>
            <w:shd w:fill="auto" w:val="clear"/>
            <w:tcMar>
              <w:bottom w:w="0" w:type="dxa"/>
            </w:tcMar>
            <w:vAlign w:val="center"/>
          </w:tcPr>
          <w:p>
            <w:pPr>
              <w:pStyle w:val="TableContents"/>
              <w:spacing w:lineRule="auto" w:line="276" w:before="0" w:after="283"/>
              <w:jc w:val="center"/>
              <w:rPr>
                <w:sz w:val="20"/>
              </w:rPr>
            </w:pPr>
            <w:r>
              <w:rPr>
                <w:sz w:val="20"/>
              </w:rPr>
              <w:t>of incorporation)</w:t>
            </w:r>
          </w:p>
        </w:tc>
        <w:tc>
          <w:tcPr>
            <w:tcW w:w="60" w:type="dxa"/>
            <w:tcBorders/>
            <w:shd w:fill="auto" w:val="clear"/>
            <w:tcMar>
              <w:bottom w:w="0" w:type="dxa"/>
            </w:tcMar>
            <w:vAlign w:val="center"/>
          </w:tcPr>
          <w:p>
            <w:pPr>
              <w:pStyle w:val="TableContents"/>
              <w:spacing w:lineRule="auto" w:line="276" w:before="0" w:after="283"/>
              <w:rPr/>
            </w:pPr>
            <w:r>
              <w:rPr/>
              <w:t> </w:t>
            </w:r>
          </w:p>
        </w:tc>
        <w:tc>
          <w:tcPr>
            <w:tcW w:w="2210" w:type="dxa"/>
            <w:tcBorders/>
            <w:shd w:fill="auto" w:val="clear"/>
            <w:tcMar>
              <w:bottom w:w="0" w:type="dxa"/>
            </w:tcMar>
            <w:vAlign w:val="center"/>
          </w:tcPr>
          <w:p>
            <w:pPr>
              <w:pStyle w:val="TableContents"/>
              <w:spacing w:lineRule="auto" w:line="276" w:before="0" w:after="283"/>
              <w:jc w:val="center"/>
              <w:rPr/>
            </w:pPr>
            <w:r>
              <w:rPr/>
              <w:t> </w:t>
            </w:r>
          </w:p>
        </w:tc>
        <w:tc>
          <w:tcPr>
            <w:tcW w:w="60" w:type="dxa"/>
            <w:tcBorders/>
            <w:shd w:fill="auto" w:val="clear"/>
            <w:tcMar>
              <w:bottom w:w="0" w:type="dxa"/>
            </w:tcMar>
            <w:vAlign w:val="center"/>
          </w:tcPr>
          <w:p>
            <w:pPr>
              <w:pStyle w:val="TableContents"/>
              <w:spacing w:lineRule="auto" w:line="276" w:before="0" w:after="283"/>
              <w:rPr/>
            </w:pPr>
            <w:r>
              <w:rPr/>
              <w:t> </w:t>
            </w:r>
          </w:p>
        </w:tc>
        <w:tc>
          <w:tcPr>
            <w:tcW w:w="2780" w:type="dxa"/>
            <w:tcBorders/>
            <w:shd w:fill="auto" w:val="clear"/>
            <w:tcMar>
              <w:bottom w:w="0" w:type="dxa"/>
            </w:tcMar>
            <w:vAlign w:val="center"/>
          </w:tcPr>
          <w:p>
            <w:pPr>
              <w:pStyle w:val="TableContents"/>
              <w:spacing w:lineRule="auto" w:line="276" w:before="0" w:after="283"/>
              <w:jc w:val="center"/>
              <w:rPr/>
            </w:pPr>
            <w:r>
              <w:rPr/>
              <w:t> </w:t>
            </w:r>
          </w:p>
        </w:tc>
      </w:tr>
    </w:tbl>
    <w:p>
      <w:pPr>
        <w:pStyle w:val="TextBody"/>
        <w:rPr>
          <w:caps w:val="false"/>
          <w:smallCaps w:val="false"/>
        </w:rPr>
      </w:pPr>
      <w:r>
        <w:rPr>
          <w:caps w:val="false"/>
          <w:smallCaps w:val="false"/>
        </w:rPr>
        <w:t> </w:t>
      </w:r>
    </w:p>
    <w:tbl>
      <w:tblPr>
        <w:tblW w:w="4840" w:type="dxa"/>
        <w:jc w:val="left"/>
        <w:tblInd w:w="0" w:type="dxa"/>
        <w:tblCellMar>
          <w:top w:w="0" w:type="dxa"/>
          <w:left w:w="0" w:type="dxa"/>
          <w:bottom w:w="28" w:type="dxa"/>
          <w:right w:w="0" w:type="dxa"/>
        </w:tblCellMar>
      </w:tblPr>
      <w:tblGrid>
        <w:gridCol w:w="3860"/>
        <w:gridCol w:w="60"/>
        <w:gridCol w:w="920"/>
      </w:tblGrid>
      <w:tr>
        <w:trPr/>
        <w:tc>
          <w:tcPr>
            <w:tcW w:w="3860" w:type="dxa"/>
            <w:tcBorders>
              <w:bottom w:val="single" w:sz="8" w:space="0" w:color="000000"/>
            </w:tcBorders>
            <w:shd w:fill="auto" w:val="clear"/>
            <w:vAlign w:val="center"/>
          </w:tcPr>
          <w:p>
            <w:pPr>
              <w:pStyle w:val="TableContents"/>
              <w:spacing w:lineRule="auto" w:line="276" w:before="0" w:after="283"/>
              <w:jc w:val="center"/>
              <w:rPr>
                <w:b/>
                <w:sz w:val="20"/>
              </w:rPr>
            </w:pPr>
            <w:bookmarkStart w:id="8" w:name="xdx_90C_edei--EntityAddressAddressLine1_"/>
            <w:bookmarkEnd w:id="8"/>
            <w:r>
              <w:rPr>
                <w:b/>
                <w:sz w:val="20"/>
              </w:rPr>
              <w:t xml:space="preserve">One Park Place, </w:t>
            </w:r>
            <w:bookmarkStart w:id="9" w:name="xdx_90F_edei--EntityAddressAddressLine2_"/>
            <w:bookmarkEnd w:id="9"/>
            <w:r>
              <w:rPr>
                <w:b/>
                <w:sz w:val="20"/>
              </w:rPr>
              <w:t xml:space="preserve">Suite 200, </w:t>
            </w:r>
            <w:bookmarkStart w:id="10" w:name="xdx_906_edei--EntityAddressCityOrTown_c2"/>
            <w:bookmarkEnd w:id="10"/>
            <w:r>
              <w:rPr>
                <w:b/>
                <w:sz w:val="20"/>
              </w:rPr>
              <w:t xml:space="preserve">Dublin, </w:t>
            </w:r>
            <w:bookmarkStart w:id="11" w:name="xdx_900_edei--EntityAddressStateOrProvin"/>
            <w:bookmarkEnd w:id="11"/>
            <w:r>
              <w:rPr>
                <w:b/>
                <w:sz w:val="20"/>
              </w:rPr>
              <w:t>California</w:t>
            </w:r>
          </w:p>
        </w:tc>
        <w:tc>
          <w:tcPr>
            <w:tcW w:w="60" w:type="dxa"/>
            <w:tcBorders/>
            <w:shd w:fill="auto" w:val="clear"/>
            <w:tcMar>
              <w:bottom w:w="0" w:type="dxa"/>
            </w:tcMar>
            <w:vAlign w:val="center"/>
          </w:tcPr>
          <w:p>
            <w:pPr>
              <w:pStyle w:val="TableContents"/>
              <w:spacing w:lineRule="auto" w:line="276" w:before="0" w:after="283"/>
              <w:rPr/>
            </w:pPr>
            <w:r>
              <w:rPr/>
              <w:t> </w:t>
            </w:r>
          </w:p>
        </w:tc>
        <w:tc>
          <w:tcPr>
            <w:tcW w:w="920" w:type="dxa"/>
            <w:tcBorders>
              <w:bottom w:val="single" w:sz="8" w:space="0" w:color="000000"/>
            </w:tcBorders>
            <w:shd w:fill="auto" w:val="clear"/>
            <w:vAlign w:val="center"/>
          </w:tcPr>
          <w:p>
            <w:pPr>
              <w:pStyle w:val="TableContents"/>
              <w:spacing w:lineRule="auto" w:line="276" w:before="0" w:after="283"/>
              <w:jc w:val="center"/>
              <w:rPr>
                <w:b/>
                <w:sz w:val="20"/>
              </w:rPr>
            </w:pPr>
            <w:bookmarkStart w:id="12" w:name="xdx_907_edei--EntityAddressPostalZipCode"/>
            <w:bookmarkEnd w:id="12"/>
            <w:r>
              <w:rPr>
                <w:b/>
                <w:sz w:val="20"/>
              </w:rPr>
              <w:t>94568</w:t>
            </w:r>
          </w:p>
        </w:tc>
      </w:tr>
      <w:tr>
        <w:trPr/>
        <w:tc>
          <w:tcPr>
            <w:tcW w:w="3860" w:type="dxa"/>
            <w:tcBorders/>
            <w:shd w:fill="auto" w:val="clear"/>
            <w:tcMar>
              <w:bottom w:w="0" w:type="dxa"/>
            </w:tcMar>
            <w:vAlign w:val="center"/>
          </w:tcPr>
          <w:p>
            <w:pPr>
              <w:pStyle w:val="TableContents"/>
              <w:spacing w:lineRule="auto" w:line="276"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lineRule="auto" w:line="276" w:before="0" w:after="283"/>
              <w:rPr/>
            </w:pPr>
            <w:r>
              <w:rPr/>
              <w:t> </w:t>
            </w:r>
          </w:p>
        </w:tc>
        <w:tc>
          <w:tcPr>
            <w:tcW w:w="920" w:type="dxa"/>
            <w:tcBorders/>
            <w:shd w:fill="auto" w:val="clear"/>
            <w:tcMar>
              <w:bottom w:w="0" w:type="dxa"/>
            </w:tcMar>
            <w:vAlign w:val="center"/>
          </w:tcPr>
          <w:p>
            <w:pPr>
              <w:pStyle w:val="TableContents"/>
              <w:spacing w:lineRule="auto" w:line="276" w:before="0" w:after="283"/>
              <w:jc w:val="center"/>
              <w:rPr>
                <w:sz w:val="20"/>
              </w:rPr>
            </w:pPr>
            <w:r>
              <w:rPr>
                <w:sz w:val="20"/>
              </w:rPr>
              <w:t>(Zip Code)</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30328__20"/>
      <w:bookmarkEnd w:id="13"/>
      <w:r>
        <w:rPr>
          <w:rFonts w:ascii="Times New Roman;Times;Serif" w:hAnsi="Times New Roman;Times;Serif"/>
          <w:b/>
          <w:i w:val="false"/>
          <w:caps w:val="false"/>
          <w:smallCaps w:val="false"/>
          <w:sz w:val="20"/>
        </w:rPr>
        <w:t xml:space="preserve">(925) </w:t>
      </w:r>
      <w:bookmarkStart w:id="14" w:name="xdx_903_edei--LocalPhoneNumber_c20230328"/>
      <w:bookmarkEnd w:id="14"/>
      <w:r>
        <w:rPr>
          <w:rFonts w:ascii="Times New Roman;Times;Serif" w:hAnsi="Times New Roman;Times;Serif"/>
          <w:b/>
          <w:i w:val="false"/>
          <w:caps w:val="false"/>
          <w:smallCaps w:val="false"/>
          <w:sz w:val="20"/>
        </w:rPr>
        <w:t>400-4366</w:t>
      </w:r>
    </w:p>
    <w:p>
      <w:pPr>
        <w:pStyle w:val="TextBody"/>
        <w:jc w:val="center"/>
        <w:rPr>
          <w:caps w:val="false"/>
          <w:smallCaps w:val="false"/>
        </w:rPr>
      </w:pPr>
      <w:r>
        <w:rPr>
          <w:caps w:val="false"/>
          <w:smallCaps w:val="false"/>
        </w:rPr>
        <w:t> </w:t>
      </w:r>
    </w:p>
    <w:tbl>
      <w:tblPr>
        <w:tblW w:w="5240" w:type="dxa"/>
        <w:jc w:val="left"/>
        <w:tblInd w:w="0" w:type="dxa"/>
        <w:tblCellMar>
          <w:top w:w="0" w:type="dxa"/>
          <w:left w:w="0" w:type="dxa"/>
          <w:bottom w:w="28" w:type="dxa"/>
          <w:right w:w="0" w:type="dxa"/>
        </w:tblCellMar>
      </w:tblPr>
      <w:tblGrid>
        <w:gridCol w:w="5240"/>
      </w:tblGrid>
      <w:tr>
        <w:trPr/>
        <w:tc>
          <w:tcPr>
            <w:tcW w:w="5240" w:type="dxa"/>
            <w:tcBorders>
              <w:bottom w:val="single" w:sz="8" w:space="0" w:color="000000"/>
            </w:tcBorders>
            <w:shd w:fill="auto" w:val="clear"/>
            <w:vAlign w:val="center"/>
          </w:tcPr>
          <w:p>
            <w:pPr>
              <w:pStyle w:val="TableContents"/>
              <w:spacing w:before="0" w:after="283"/>
              <w:rPr/>
            </w:pPr>
            <w:r>
              <w:rPr/>
              <w:t> </w:t>
            </w:r>
          </w:p>
        </w:tc>
      </w:tr>
      <w:tr>
        <w:trPr/>
        <w:tc>
          <w:tcPr>
            <w:tcW w:w="5240" w:type="dxa"/>
            <w:tcBorders/>
            <w:shd w:fill="auto" w:val="clear"/>
            <w:tcMar>
              <w:bottom w:w="0" w:type="dxa"/>
            </w:tcMar>
            <w:vAlign w:val="center"/>
          </w:tcPr>
          <w:p>
            <w:pPr>
              <w:pStyle w:val="TableContents"/>
              <w:spacing w:lineRule="auto" w:line="276" w:before="0" w:after="283"/>
              <w:jc w:val="center"/>
              <w:rPr>
                <w:sz w:val="20"/>
              </w:rPr>
            </w:pPr>
            <w:r>
              <w:rPr>
                <w:sz w:val="20"/>
              </w:rPr>
              <w:t>(Former Name or Former Address, if Changed Since Last Report)</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rPr>
          <w:caps w:val="false"/>
          <w:smallCaps w:val="false"/>
        </w:rPr>
      </w:pPr>
      <w:r>
        <w:rPr>
          <w:caps w:val="false"/>
          <w:smallCaps w:val="false"/>
        </w:rPr>
        <w:t> </w:t>
      </w:r>
    </w:p>
    <w:p>
      <w:pPr>
        <w:pStyle w:val="TextBody"/>
        <w:ind w:left="0" w:right="0" w:firstLine="6"/>
        <w:rPr>
          <w:caps w:val="false"/>
          <w:smallCaps w:val="false"/>
        </w:rPr>
      </w:pPr>
      <w:bookmarkStart w:id="15" w:name="xdx_90E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ind w:left="0" w:right="0" w:firstLine="6"/>
        <w:rPr>
          <w:caps w:val="false"/>
          <w:smallCaps w:val="false"/>
        </w:rPr>
      </w:pPr>
      <w:bookmarkStart w:id="16" w:name="xdx_908_edei--SolicitingMaterial_c202303"/>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ind w:left="0" w:right="0" w:firstLine="6"/>
        <w:rPr>
          <w:caps w:val="false"/>
          <w:smallCaps w:val="false"/>
        </w:rPr>
      </w:pPr>
      <w:bookmarkStart w:id="17" w:name="xdx_90F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ind w:left="0" w:right="0" w:firstLine="6"/>
        <w:rPr>
          <w:caps w:val="false"/>
          <w:smallCaps w:val="false"/>
        </w:rPr>
      </w:pPr>
      <w:bookmarkStart w:id="18" w:name="xdx_90C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240" w:type="dxa"/>
        <w:jc w:val="left"/>
        <w:tblInd w:w="0" w:type="dxa"/>
        <w:tblCellMar>
          <w:top w:w="30" w:type="dxa"/>
          <w:left w:w="30" w:type="dxa"/>
          <w:bottom w:w="30" w:type="dxa"/>
          <w:right w:w="30" w:type="dxa"/>
        </w:tblCellMar>
      </w:tblPr>
      <w:tblGrid>
        <w:gridCol w:w="3920"/>
        <w:gridCol w:w="1610"/>
        <w:gridCol w:w="3710"/>
      </w:tblGrid>
      <w:tr>
        <w:trPr/>
        <w:tc>
          <w:tcPr>
            <w:tcW w:w="392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1610" w:type="dxa"/>
            <w:tcBorders>
              <w:top w:val="single" w:sz="8" w:space="0" w:color="000000"/>
              <w:bottom w:val="single" w:sz="8" w:space="0" w:color="000000"/>
              <w:right w:val="single" w:sz="8" w:space="0" w:color="000000"/>
            </w:tcBorders>
            <w:shd w:fill="auto" w:val="clear"/>
            <w:tcMar>
              <w:top w:w="28" w:type="dxa"/>
              <w:left w:w="0" w:type="dxa"/>
              <w:bottom w:w="28" w:type="dxa"/>
              <w:right w:w="28" w:type="dxa"/>
            </w:tcMar>
            <w:vAlign w:val="center"/>
          </w:tcPr>
          <w:p>
            <w:pPr>
              <w:pStyle w:val="TableContents"/>
              <w:spacing w:before="0" w:after="283"/>
              <w:jc w:val="center"/>
              <w:rPr>
                <w:b/>
                <w:sz w:val="20"/>
              </w:rPr>
            </w:pPr>
            <w:r>
              <w:rPr>
                <w:b/>
                <w:sz w:val="20"/>
              </w:rPr>
              <w:t>Trading Symbol(s)</w:t>
            </w:r>
          </w:p>
        </w:tc>
        <w:tc>
          <w:tcPr>
            <w:tcW w:w="3710" w:type="dxa"/>
            <w:tcBorders>
              <w:top w:val="single" w:sz="8" w:space="0" w:color="000000"/>
              <w:bottom w:val="single" w:sz="8" w:space="0" w:color="000000"/>
              <w:right w:val="single" w:sz="8" w:space="0" w:color="000000"/>
            </w:tcBorders>
            <w:shd w:fill="auto" w:val="clear"/>
            <w:tcMar>
              <w:top w:w="28" w:type="dxa"/>
              <w:left w:w="0" w:type="dxa"/>
              <w:bottom w:w="28" w:type="dxa"/>
              <w:right w:w="28" w:type="dxa"/>
            </w:tcMar>
            <w:vAlign w:val="center"/>
          </w:tcPr>
          <w:p>
            <w:pPr>
              <w:pStyle w:val="TableContents"/>
              <w:spacing w:before="0" w:after="283"/>
              <w:jc w:val="center"/>
              <w:rPr>
                <w:b/>
                <w:sz w:val="20"/>
              </w:rPr>
            </w:pPr>
            <w:r>
              <w:rPr>
                <w:b/>
                <w:sz w:val="20"/>
              </w:rPr>
              <w:t>Name of each exchange on which registered</w:t>
            </w:r>
          </w:p>
        </w:tc>
      </w:tr>
      <w:tr>
        <w:trPr/>
        <w:tc>
          <w:tcPr>
            <w:tcW w:w="392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19" w:name="xdx_907_edei--Security12bTitle_c20230328"/>
            <w:bookmarkEnd w:id="19"/>
            <w:r>
              <w:rPr>
                <w:sz w:val="20"/>
              </w:rPr>
              <w:t>Common Stock, par value $0.0001 per share</w:t>
            </w:r>
          </w:p>
        </w:tc>
        <w:tc>
          <w:tcPr>
            <w:tcW w:w="1610" w:type="dxa"/>
            <w:tcBorders>
              <w:bottom w:val="single" w:sz="8" w:space="0" w:color="000000"/>
              <w:right w:val="single" w:sz="8" w:space="0" w:color="000000"/>
            </w:tcBorders>
            <w:shd w:fill="auto" w:val="clear"/>
            <w:tcMar>
              <w:top w:w="0" w:type="dxa"/>
              <w:left w:w="0" w:type="dxa"/>
              <w:bottom w:w="28" w:type="dxa"/>
              <w:right w:w="28" w:type="dxa"/>
            </w:tcMar>
            <w:vAlign w:val="center"/>
          </w:tcPr>
          <w:p>
            <w:pPr>
              <w:pStyle w:val="TableContents"/>
              <w:spacing w:before="0" w:after="283"/>
              <w:jc w:val="center"/>
              <w:rPr>
                <w:sz w:val="20"/>
              </w:rPr>
            </w:pPr>
            <w:bookmarkStart w:id="20" w:name="xdx_906_edei--TradingSymbol_c20230328__2"/>
            <w:bookmarkEnd w:id="20"/>
            <w:r>
              <w:rPr>
                <w:sz w:val="20"/>
              </w:rPr>
              <w:t>LIDR</w:t>
            </w:r>
          </w:p>
        </w:tc>
        <w:tc>
          <w:tcPr>
            <w:tcW w:w="3710" w:type="dxa"/>
            <w:tcBorders>
              <w:bottom w:val="single" w:sz="8" w:space="0" w:color="000000"/>
              <w:right w:val="single" w:sz="8" w:space="0" w:color="000000"/>
            </w:tcBorders>
            <w:shd w:fill="auto" w:val="clear"/>
            <w:tcMar>
              <w:top w:w="0" w:type="dxa"/>
              <w:left w:w="0" w:type="dxa"/>
              <w:bottom w:w="28" w:type="dxa"/>
              <w:right w:w="28" w:type="dxa"/>
            </w:tcMar>
            <w:vAlign w:val="center"/>
          </w:tcPr>
          <w:p>
            <w:pPr>
              <w:pStyle w:val="TableContents"/>
              <w:spacing w:before="0" w:after="283"/>
              <w:jc w:val="center"/>
              <w:rPr>
                <w:sz w:val="20"/>
              </w:rPr>
            </w:pPr>
            <w:bookmarkStart w:id="21" w:name="xdx_904_edei--SecurityExchangeName_c2023"/>
            <w:bookmarkEnd w:id="21"/>
            <w:r>
              <w:rPr>
                <w:sz w:val="20"/>
              </w:rPr>
              <w:t>The Nasdaq Stock Market LLC</w:t>
            </w:r>
          </w:p>
        </w:tc>
      </w:tr>
      <w:tr>
        <w:trPr/>
        <w:tc>
          <w:tcPr>
            <w:tcW w:w="392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22" w:name="xdx_903_edei--Security12bTitle_c20230328"/>
            <w:bookmarkEnd w:id="22"/>
            <w:r>
              <w:rPr>
                <w:sz w:val="20"/>
              </w:rPr>
              <w:t>Warrants to receive one share of Common Stock</w:t>
            </w:r>
          </w:p>
        </w:tc>
        <w:tc>
          <w:tcPr>
            <w:tcW w:w="1610" w:type="dxa"/>
            <w:tcBorders>
              <w:bottom w:val="single" w:sz="8" w:space="0" w:color="000000"/>
              <w:right w:val="single" w:sz="8" w:space="0" w:color="000000"/>
            </w:tcBorders>
            <w:shd w:fill="auto" w:val="clear"/>
            <w:tcMar>
              <w:top w:w="0" w:type="dxa"/>
              <w:left w:w="0" w:type="dxa"/>
              <w:bottom w:w="28" w:type="dxa"/>
              <w:right w:w="28" w:type="dxa"/>
            </w:tcMar>
            <w:vAlign w:val="center"/>
          </w:tcPr>
          <w:p>
            <w:pPr>
              <w:pStyle w:val="TableContents"/>
              <w:spacing w:before="0" w:after="283"/>
              <w:jc w:val="center"/>
              <w:rPr>
                <w:sz w:val="20"/>
              </w:rPr>
            </w:pPr>
            <w:bookmarkStart w:id="23" w:name="xdx_906_edei--TradingSymbol_c20230328__2"/>
            <w:bookmarkEnd w:id="23"/>
            <w:r>
              <w:rPr>
                <w:sz w:val="20"/>
              </w:rPr>
              <w:t>LIDRW</w:t>
            </w:r>
          </w:p>
        </w:tc>
        <w:tc>
          <w:tcPr>
            <w:tcW w:w="3710" w:type="dxa"/>
            <w:tcBorders>
              <w:bottom w:val="single" w:sz="8" w:space="0" w:color="000000"/>
              <w:right w:val="single" w:sz="8" w:space="0" w:color="000000"/>
            </w:tcBorders>
            <w:shd w:fill="auto" w:val="clear"/>
            <w:tcMar>
              <w:top w:w="0" w:type="dxa"/>
              <w:left w:w="0" w:type="dxa"/>
              <w:bottom w:w="28" w:type="dxa"/>
              <w:right w:w="28" w:type="dxa"/>
            </w:tcMar>
            <w:vAlign w:val="center"/>
          </w:tcPr>
          <w:p>
            <w:pPr>
              <w:pStyle w:val="TableContents"/>
              <w:spacing w:before="0" w:after="283"/>
              <w:jc w:val="center"/>
              <w:rPr>
                <w:sz w:val="20"/>
              </w:rPr>
            </w:pPr>
            <w:bookmarkStart w:id="24" w:name="xdx_90A_edei--SecurityExchangeName_c2023"/>
            <w:bookmarkEnd w:id="24"/>
            <w:r>
              <w:rPr>
                <w:sz w:val="20"/>
              </w:rPr>
              <w:t>The Nasdaq Stock Market LLC</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F_edei--EntityEmergingGrowthCompan"/>
      <w:bookmarkEnd w:id="25"/>
      <w:r>
        <w:rPr>
          <w:rFonts w:ascii="Wingdings" w:hAnsi="Wingdings"/>
          <w:b w:val="false"/>
          <w:i w:val="false"/>
          <w:caps w:val="false"/>
          <w:smallCaps w:val="false"/>
          <w:sz w:val="20"/>
        </w:rPr>
        <w:t>x</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D_edei--EntityExTransitionPeriod_c"/>
      <w:bookmarkEnd w:id="26"/>
      <w:r>
        <w:rPr>
          <w:rFonts w:ascii="Wingdings" w:hAnsi="Wingdings"/>
          <w:b w:val="false"/>
          <w:i w:val="false"/>
          <w:caps w:val="false"/>
          <w:smallCaps w:val="false"/>
          <w:sz w:val="20"/>
        </w:rPr>
        <w:t>o</w:t>
      </w:r>
    </w:p>
    <w:p>
      <w:pPr>
        <w:pStyle w:val="TextBody"/>
        <w:spacing w:before="60" w:after="240"/>
        <w:rPr>
          <w:bdr w:val="single" w:sz="8" w:space="1" w:color="000000"/>
        </w:rPr>
      </w:pPr>
      <w:r>
        <w:rPr>
          <w:bdr w:val="single" w:sz="8" w:space="1" w:color="000000"/>
        </w:rPr>
        <w:t> </w:t>
      </w:r>
    </w:p>
    <w:p>
      <w:pPr>
        <w:pStyle w:val="TextBody"/>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tbl>
      <w:tblPr>
        <w:tblW w:w="5973" w:type="dxa"/>
        <w:jc w:val="left"/>
        <w:tblInd w:w="0" w:type="dxa"/>
        <w:tblCellMar>
          <w:top w:w="0" w:type="dxa"/>
          <w:left w:w="0" w:type="dxa"/>
          <w:bottom w:w="0" w:type="dxa"/>
          <w:right w:w="0" w:type="dxa"/>
        </w:tblCellMar>
      </w:tblPr>
      <w:tblGrid>
        <w:gridCol w:w="38"/>
        <w:gridCol w:w="965"/>
        <w:gridCol w:w="497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b/>
              </w:rPr>
            </w:pPr>
            <w:r>
              <w:rPr>
                <w:b/>
              </w:rPr>
              <w:t>Item 2.05</w:t>
            </w:r>
          </w:p>
        </w:tc>
        <w:tc>
          <w:tcPr>
            <w:tcW w:w="4970" w:type="dxa"/>
            <w:tcBorders/>
            <w:shd w:fill="auto" w:val="clear"/>
            <w:vAlign w:val="center"/>
          </w:tcPr>
          <w:p>
            <w:pPr>
              <w:pStyle w:val="TableContents"/>
              <w:spacing w:before="0" w:after="283"/>
              <w:jc w:val="both"/>
              <w:rPr>
                <w:b/>
              </w:rPr>
            </w:pPr>
            <w:r>
              <w:rPr>
                <w:b/>
              </w:rPr>
              <w:t>Costs Associated with Exit or Disposal Activities.</w:t>
            </w:r>
          </w:p>
        </w:tc>
      </w:tr>
    </w:tbl>
    <w:p>
      <w:pPr>
        <w:pStyle w:val="TextBody"/>
        <w:ind w:left="0" w:right="0" w:hanging="0"/>
        <w:rPr>
          <w:caps w:val="false"/>
          <w:smallCaps w:val="false"/>
        </w:rPr>
      </w:pPr>
      <w:r>
        <w:rPr>
          <w:caps w:val="false"/>
          <w:smallCaps w:val="false"/>
        </w:rPr>
        <w:t> </w:t>
      </w:r>
    </w:p>
    <w:p>
      <w:pPr>
        <w:pStyle w:val="TextBody"/>
        <w:spacing w:before="0" w:after="240"/>
        <w:ind w:left="0" w:right="0" w:firstLine="50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the March 15, 2023 earnings call, AEye, Inc. (the “Company”) expects to announce its revised strategic plan during its second quarter earnings call in May 2023. The revised strategic plan will outline the steps the Company is taking to focus on key products and critical customer engagements it believes will generate the best long-term results for all stakeholders. In advance of the second quarter earnings call, the Company announced today, March 28, 2023, that it will restructure and reduce its workforce by approximately one-third, effective April 3, 2023. The revised strategic plan to be announced in May is also expected to include other significant operating expense reductions.</w:t>
      </w:r>
    </w:p>
    <w:p>
      <w:pPr>
        <w:pStyle w:val="TextBody"/>
        <w:spacing w:before="0" w:after="240"/>
        <w:ind w:left="0" w:right="0" w:firstLine="50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reduction-in-force impacts approximately 46 full-time and part-time employees and is expected to be completed early in the second quarter of 2023. The Company expects to incur a one-time restructuring charge in the first quarter of 2023, to be paid in cash in the second quarter, in the range of $0.6 to $1.0 million, primarily consisting of personnel expenses, such as one-time separation payments and other benefits.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Forward-Looking Statements</w:t>
      </w:r>
    </w:p>
    <w:p>
      <w:pPr>
        <w:pStyle w:val="TextBody"/>
        <w:spacing w:before="0" w:after="240"/>
        <w:ind w:left="0" w:right="0" w:firstLine="50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U.S. Private Securities Litigation Reform Act of 1995 that are based on beliefs and assumptions and on information currently available. In some cases, you can identify forward-looking statements by the following words: “outlook,” “target,” “reflect,” “on track,” “foresees,” “future,” “may,” “deliver,” “will,” “shall,” “could,” “would,” “should,” “expect,” “intend,” “plan,” “anticipate,” “believe,” “estimate,” “predict,” “project,” “potential,” “continue,” “ongoing” or the negative of these terms, other comparable terminology (although not all forward-looking statements contain these words), or by discussions of strategy, plans, or intentions. Forward looking statements included in this Current Report include statements about the Company’s revised strategic plan, the implementation of any operating expense reductions in connection with the Company’s revised strategic plan, and the size, impact and timing of the reduction-in-force, among others.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Current Report on Form 8-K, we caution you that these statements are based on a combination of facts and factors currently known by us and our projections of the future, about which we cannot be certain.</w:t>
      </w:r>
    </w:p>
    <w:p>
      <w:pPr>
        <w:pStyle w:val="TextBody"/>
        <w:spacing w:before="0" w:after="240"/>
        <w:ind w:left="0" w:right="0" w:firstLine="50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matters addressed in this Current Report, the estimated costs the Company expects to incur in connection with the reduction-in-force are subject to certain assumptions, and actual results may differ significantly from these estimates. The Company may also incur additional costs not currently contemplated due to events that may occur as a result of, or that are associated with, the restructuring. The reduction-in-force may take longer than anticipated and it may have an adverse impact on the Company’s performance. Except as required by law, the Company undertakes no duty or obligation to update any forward-looking statements contained in this Form 8-K, whether as a result of new information, future events, or otherwise.</w:t>
      </w:r>
    </w:p>
    <w:p>
      <w:pPr>
        <w:pStyle w:val="TextBody"/>
        <w:spacing w:before="0" w:after="240"/>
        <w:ind w:left="0" w:right="0" w:firstLine="504"/>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240"/>
        <w:ind w:left="0" w:right="0" w:hanging="0"/>
        <w:jc w:val="both"/>
        <w:rPr>
          <w:caps w:val="false"/>
          <w:smallCaps w:val="false"/>
        </w:rPr>
      </w:pPr>
      <w:r>
        <w:rPr>
          <w:caps w:val="false"/>
          <w:smallCaps w:val="false"/>
        </w:rPr>
        <w:t> </w:t>
      </w:r>
    </w:p>
    <w:p>
      <w:pPr>
        <w:pStyle w:val="TextBody"/>
        <w:spacing w:lineRule="auto" w:line="276"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240"/>
        <w:ind w:left="0" w:right="0" w:firstLine="50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7350" w:type="dxa"/>
        <w:jc w:val="left"/>
        <w:tblInd w:w="0" w:type="dxa"/>
        <w:tblCellMar>
          <w:top w:w="0" w:type="dxa"/>
          <w:left w:w="0" w:type="dxa"/>
          <w:bottom w:w="0" w:type="dxa"/>
          <w:right w:w="0" w:type="dxa"/>
        </w:tblCellMar>
      </w:tblPr>
      <w:tblGrid>
        <w:gridCol w:w="1910"/>
        <w:gridCol w:w="60"/>
        <w:gridCol w:w="320"/>
        <w:gridCol w:w="5060"/>
      </w:tblGrid>
      <w:tr>
        <w:trPr/>
        <w:tc>
          <w:tcPr>
            <w:tcW w:w="19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80" w:type="dxa"/>
            <w:gridSpan w:val="2"/>
            <w:tcBorders/>
            <w:shd w:fill="auto" w:val="clear"/>
            <w:vAlign w:val="center"/>
          </w:tcPr>
          <w:p>
            <w:pPr>
              <w:pStyle w:val="TableContents"/>
              <w:spacing w:before="0" w:after="283"/>
              <w:rPr>
                <w:b/>
                <w:sz w:val="20"/>
              </w:rPr>
            </w:pPr>
            <w:r>
              <w:rPr>
                <w:b/>
                <w:sz w:val="20"/>
              </w:rPr>
              <w:t>AEye, Inc.</w:t>
            </w:r>
          </w:p>
        </w:tc>
      </w:tr>
      <w:tr>
        <w:trPr/>
        <w:tc>
          <w:tcPr>
            <w:tcW w:w="19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80" w:type="dxa"/>
            <w:gridSpan w:val="2"/>
            <w:tcBorders/>
            <w:shd w:fill="auto"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283"/>
              <w:rPr>
                <w:sz w:val="20"/>
              </w:rPr>
            </w:pPr>
            <w:r>
              <w:rPr>
                <w:sz w:val="20"/>
              </w:rPr>
              <w:t>Dated: March 29, 2023</w:t>
            </w:r>
          </w:p>
        </w:tc>
        <w:tc>
          <w:tcPr>
            <w:tcW w:w="60" w:type="dxa"/>
            <w:tcBorders/>
            <w:shd w:fill="auto" w:val="clear"/>
            <w:vAlign w:val="center"/>
          </w:tcPr>
          <w:p>
            <w:pPr>
              <w:pStyle w:val="TableContents"/>
              <w:spacing w:before="0" w:after="283"/>
              <w:rPr/>
            </w:pPr>
            <w:r>
              <w:rPr/>
              <w:t> </w:t>
            </w:r>
          </w:p>
        </w:tc>
        <w:tc>
          <w:tcPr>
            <w:tcW w:w="5380" w:type="dxa"/>
            <w:gridSpan w:val="2"/>
            <w:tcBorders/>
            <w:shd w:fill="auto"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bottom w:val="single" w:sz="8" w:space="0" w:color="000000"/>
            </w:tcBorders>
            <w:shd w:fill="auto" w:val="clear"/>
            <w:tcMar>
              <w:bottom w:w="28" w:type="dxa"/>
            </w:tcMar>
            <w:vAlign w:val="center"/>
          </w:tcPr>
          <w:p>
            <w:pPr>
              <w:pStyle w:val="TableContents"/>
              <w:spacing w:before="0" w:after="283"/>
              <w:rPr>
                <w:sz w:val="20"/>
              </w:rPr>
            </w:pPr>
            <w:r>
              <w:rPr>
                <w:sz w:val="20"/>
              </w:rPr>
              <w:t>By:</w:t>
            </w:r>
          </w:p>
        </w:tc>
        <w:tc>
          <w:tcPr>
            <w:tcW w:w="5060" w:type="dxa"/>
            <w:tcBorders>
              <w:bottom w:val="single" w:sz="8" w:space="0" w:color="000000"/>
            </w:tcBorders>
            <w:shd w:fill="auto" w:val="clear"/>
            <w:tcMar>
              <w:bottom w:w="28" w:type="dxa"/>
            </w:tcMar>
            <w:vAlign w:val="center"/>
          </w:tcPr>
          <w:p>
            <w:pPr>
              <w:pStyle w:val="TableContents"/>
              <w:spacing w:before="0" w:after="283"/>
              <w:rPr>
                <w:sz w:val="20"/>
              </w:rPr>
            </w:pPr>
            <w:r>
              <w:rPr>
                <w:sz w:val="20"/>
              </w:rPr>
              <w:t>/s/ Andrew S. Hughes</w:t>
            </w:r>
          </w:p>
        </w:tc>
      </w:tr>
      <w:tr>
        <w:trPr/>
        <w:tc>
          <w:tcPr>
            <w:tcW w:w="19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060" w:type="dxa"/>
            <w:tcBorders/>
            <w:shd w:fill="auto" w:val="clear"/>
            <w:vAlign w:val="center"/>
          </w:tcPr>
          <w:p>
            <w:pPr>
              <w:pStyle w:val="TableContents"/>
              <w:spacing w:before="0" w:after="283"/>
              <w:rPr>
                <w:sz w:val="20"/>
                <w:highlight w:val="white"/>
              </w:rPr>
            </w:pPr>
            <w:r>
              <w:rPr>
                <w:sz w:val="20"/>
                <w:highlight w:val="white"/>
              </w:rPr>
              <w:t>Andrew S. Hughes</w:t>
            </w:r>
          </w:p>
        </w:tc>
      </w:tr>
      <w:tr>
        <w:trPr/>
        <w:tc>
          <w:tcPr>
            <w:tcW w:w="19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060" w:type="dxa"/>
            <w:tcBorders/>
            <w:shd w:fill="auto" w:val="clear"/>
            <w:vAlign w:val="center"/>
          </w:tcPr>
          <w:p>
            <w:pPr>
              <w:pStyle w:val="TableContents"/>
              <w:spacing w:before="0" w:after="283"/>
              <w:rPr>
                <w:sz w:val="20"/>
              </w:rPr>
            </w:pPr>
            <w:r>
              <w:rPr>
                <w:sz w:val="20"/>
              </w:rPr>
              <w:t>Senior Vice President, General Counsel &amp; Corporate Secretary</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60" w:after="60"/>
        <w:rPr>
          <w:bdr w:val="single" w:sz="16" w:space="1" w:color="000000"/>
        </w:rPr>
      </w:pPr>
      <w:r>
        <w:rPr>
          <w:bdr w:val="single" w:sz="16" w:space="1" w:color="000000"/>
        </w:rPr>
        <w:t> </w:t>
      </w:r>
    </w:p>
    <w:p>
      <w:pPr>
        <w:pStyle w:val="TextBody"/>
        <w:spacing w:before="0" w:after="283"/>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897</Words>
  <CharactersWithSpaces>6029</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