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918-8k_aeye.htm"/>
      <w:bookmarkStart w:id="1" w:name="ksea0290918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5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70" w:type="dxa"/>
        <w:jc w:val="left"/>
        <w:tblInd w:w="0" w:type="dxa"/>
        <w:tblLayout w:type="fixed"/>
        <w:tblCellMar>
          <w:top w:w="0" w:type="dxa"/>
          <w:left w:w="0" w:type="dxa"/>
          <w:bottom w:w="28" w:type="dxa"/>
          <w:right w:w="0" w:type="dxa"/>
        </w:tblCellMar>
      </w:tblPr>
      <w:tblGrid>
        <w:gridCol w:w="2165"/>
        <w:gridCol w:w="60"/>
        <w:gridCol w:w="2210"/>
        <w:gridCol w:w="60"/>
        <w:gridCol w:w="177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513"/>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37-1827430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sz w:val="20"/>
              </w:rPr>
            </w:pPr>
            <w:r>
              <w:rPr>
                <w:sz w:val="20"/>
              </w:rPr>
              <w:t xml:space="preserve">(IRS Employer </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12" w:space="0" w:color="000000"/>
            </w:tcBorders>
            <w:vAlign w:val="center"/>
          </w:tcPr>
          <w:p>
            <w:pPr>
              <w:pStyle w:val="TableContents"/>
              <w:bidi w:val="0"/>
              <w:spacing w:before="0" w:after="283"/>
              <w:jc w:val="center"/>
              <w:rPr>
                <w:b/>
                <w:sz w:val="20"/>
              </w:rPr>
            </w:pPr>
            <w:bookmarkStart w:id="8" w:name="xdx_90C_edei--EntityAddressAddressLine1_"/>
            <w:bookmarkEnd w:id="8"/>
            <w:r>
              <w:rPr>
                <w:b/>
                <w:sz w:val="20"/>
              </w:rPr>
              <w:t xml:space="preserve">4670 Willow Road, </w:t>
            </w:r>
            <w:bookmarkStart w:id="9" w:name="xdx_903_edei--EntityAddressAddressLine2_"/>
            <w:bookmarkEnd w:id="9"/>
            <w:r>
              <w:rPr>
                <w:b/>
                <w:sz w:val="20"/>
              </w:rPr>
              <w:t xml:space="preserve">Suite 125, </w:t>
            </w:r>
            <w:bookmarkStart w:id="10" w:name="xdx_906_edei--EntityAddressCityOrTown_c2"/>
            <w:bookmarkEnd w:id="10"/>
            <w:r>
              <w:rPr>
                <w:b/>
                <w:sz w:val="20"/>
              </w:rPr>
              <w:t xml:space="preserve">Pleasanton, </w:t>
            </w:r>
            <w:bookmarkStart w:id="11" w:name="xdx_903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513__20"/>
      <w:bookmarkEnd w:id="13"/>
      <w:r>
        <w:rPr>
          <w:rFonts w:ascii="Times New Roman;Times;Serif" w:hAnsi="Times New Roman;Times;Serif"/>
          <w:b/>
          <w:i w:val="false"/>
          <w:caps w:val="false"/>
          <w:smallCaps w:val="false"/>
          <w:sz w:val="20"/>
        </w:rPr>
        <w:t xml:space="preserve">(925) </w:t>
      </w:r>
      <w:bookmarkStart w:id="14" w:name="xdx_90C_edei--LocalPhoneNumber_c20260513"/>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pPr>
            <w:r>
              <w:rPr/>
              <w:t> </w:t>
            </w:r>
          </w:p>
        </w:tc>
        <w:tc>
          <w:tcPr>
            <w:tcW w:w="5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3920"/>
        <w:gridCol w:w="60"/>
        <w:gridCol w:w="1610"/>
        <w:gridCol w:w="60"/>
        <w:gridCol w:w="3710"/>
      </w:tblGrid>
      <w:tr>
        <w:trPr/>
        <w:tc>
          <w:tcPr>
            <w:tcW w:w="39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920" w:type="dxa"/>
            <w:tcBorders/>
            <w:shd w:fill="CCEEFF" w:val="clear"/>
            <w:tcMar>
              <w:bottom w:w="0" w:type="dxa"/>
            </w:tcMar>
            <w:vAlign w:val="center"/>
          </w:tcPr>
          <w:p>
            <w:pPr>
              <w:pStyle w:val="TableContents"/>
              <w:bidi w:val="0"/>
              <w:spacing w:before="0" w:after="283"/>
              <w:jc w:val="center"/>
              <w:rPr>
                <w:sz w:val="20"/>
              </w:rPr>
            </w:pPr>
            <w:bookmarkStart w:id="19" w:name="xdx_906_edei--Security12bTitle_c20260513"/>
            <w:bookmarkEnd w:id="19"/>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3_edei--TradingSymbol_c20260513__2"/>
            <w:bookmarkEnd w:id="20"/>
            <w:r>
              <w:rPr>
                <w:sz w:val="20"/>
              </w:rPr>
              <w:t>LIDR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4_edei--SecurityExchangeName_c2026"/>
            <w:bookmarkEnd w:id="21"/>
            <w:r>
              <w:rPr>
                <w:sz w:val="20"/>
              </w:rPr>
              <w:t>Nasdaq Stock Market LLC</w:t>
            </w:r>
          </w:p>
        </w:tc>
      </w:tr>
      <w:tr>
        <w:trPr/>
        <w:tc>
          <w:tcPr>
            <w:tcW w:w="3920" w:type="dxa"/>
            <w:tcBorders/>
            <w:shd w:fill="FFFFFF" w:val="clear"/>
            <w:tcMar>
              <w:bottom w:w="0" w:type="dxa"/>
            </w:tcMar>
            <w:vAlign w:val="center"/>
          </w:tcPr>
          <w:p>
            <w:pPr>
              <w:pStyle w:val="TableContents"/>
              <w:bidi w:val="0"/>
              <w:spacing w:before="0" w:after="283"/>
              <w:jc w:val="center"/>
              <w:rPr>
                <w:sz w:val="20"/>
              </w:rPr>
            </w:pPr>
            <w:bookmarkStart w:id="22" w:name="xdx_909_edei--Security12bTitle_c20260513"/>
            <w:bookmarkEnd w:id="22"/>
            <w:r>
              <w:rPr>
                <w:sz w:val="20"/>
              </w:rPr>
              <w:t>Warrants to receive one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3" w:name="xdx_900_edei--TradingSymbol_c20260513__2"/>
            <w:bookmarkEnd w:id="23"/>
            <w:r>
              <w:rPr>
                <w:sz w:val="20"/>
              </w:rPr>
              <w:t>LIDRW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E_edei--SecurityExchangeName_c2026"/>
            <w:bookmarkEnd w:id="24"/>
            <w:r>
              <w:rPr>
                <w:sz w:val="20"/>
                <w:shd w:fill="FFFFFF" w:val="clea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5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of Management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Compensation Committee (the “Committee”) of the Board of Directors (the “Board”) of AEye, Inc. (the “Company”), as part of its ongoing review of the Company’s executive compensation and retention programs, approved changes and made recommendations regarding certain aspects of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Adoption of Amended and Restated Change in Control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Board, on the recommendation of the Committee, ratified the adoption of a form of an Amended and Restated Change in Control Severance Agreement (the “Amended Severance Agreement”) to be entered into with eligible participants and authorized the Company to enter into the Amended Severance Agreement with Matthew Fisch, the Company’s Chief Executive Officer, which will provide, in the case of a Unilateral Termination, as defined below, Mr. Fisch with a severance payment equal to his base salary for 12 months and payment of group health insurance coverage for an equal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Severance Agreement did not materially modify any of the severance payments and benefits associated with a “change in control” (as defined in the Amended Severance Agreement), however, the Amended Severance Agreement now provides for severance payments and benefits in the event that the participant: (i) voluntarily resigns for “good reason” (as defined in the Amended Severance Agreement) or (ii) is involuntary terminated by the Company without “cause” (as defined in the Amended Severance Agreement), and such separation from service does not occur in connection with, or within a specified period of time following, a “change in control” (each, a “Unilateral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Unilateral Termination, and subject to his or her satisfaction of the conditions to severance described below, an eligible participant, including our named executive officers, would be entitled to receive: (i) a severance payment equal to a percentage of such participant’s base salary; and (ii) payment of group health insurance coverage for an equal period of time following the Unilateral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any participant’s receipt of severance benefits under the Amended Severance Agreement, the participant must sign a general waiver and release of claims, the form of which is attached as an exhibit to the Amended Severance Agreement, confirm his or her obligations under the Company’s standard form of proprietary information agreement, and allow the recission period to expire and the waiver and release of claims to become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Amended Severance Agreement is not complete and is qualified in its entirety by reference to the full text of the Form of Amended and Restated Change in Control Severance Agreement, which is filed as Exhibit 10.1 to this Current Report on Form 8-K and is incorporated into this Item 5.02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to Base Salary and Bonus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Committee approved an increase in the annual base salary of Conor B. Tierney, the Company’s Chief Financial Officer, from $361,000 to $385,000, effective as of May 1, 2026, and increased Mr. Tierney’s annual bonus target from 65% of his annual base salary to 70% of his annual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Board, on the recommendation of the Committee, approved an increase in the annual base salary of Mr. Fisch from $500,000 to $562,000, effective as of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restructuring of our named executive officers, after these increases are effective, the overall spend for base compensation for our named executive officers will decrease by 24% on go-forward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8"/>
        <w:gridCol w:w="60"/>
        <w:gridCol w:w="8467"/>
      </w:tblGrid>
      <w:tr>
        <w:trPr/>
        <w:tc>
          <w:tcPr>
            <w:tcW w:w="1678" w:type="dxa"/>
            <w:tcBorders>
              <w:bottom w:val="single" w:sz="12" w:space="0" w:color="000000"/>
            </w:tcBorders>
            <w:vAlign w:val="center"/>
          </w:tcPr>
          <w:p>
            <w:pPr>
              <w:pStyle w:val="TableContents"/>
              <w:bidi w:val="0"/>
              <w:spacing w:before="0" w:after="283"/>
              <w:ind w:left="0" w:right="0" w:hanging="0"/>
              <w:jc w:val="left"/>
              <w:rPr>
                <w:b/>
              </w:rPr>
            </w:pPr>
            <w:r>
              <w:rPr>
                <w:b/>
              </w:rPr>
              <w:t>Exhibit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67" w:type="dxa"/>
            <w:tcBorders>
              <w:bottom w:val="single" w:sz="12" w:space="0" w:color="000000"/>
            </w:tcBorders>
            <w:vAlign w:val="center"/>
          </w:tcPr>
          <w:p>
            <w:pPr>
              <w:pStyle w:val="TableContents"/>
              <w:bidi w:val="0"/>
              <w:spacing w:before="0" w:after="283"/>
              <w:ind w:left="0" w:right="0" w:hanging="0"/>
              <w:jc w:val="left"/>
              <w:rPr>
                <w:b/>
              </w:rPr>
            </w:pPr>
            <w:r>
              <w:rPr>
                <w:b/>
              </w:rPr>
              <w:t>Description</w:t>
            </w:r>
          </w:p>
        </w:tc>
      </w:tr>
      <w:tr>
        <w:trPr/>
        <w:tc>
          <w:tcPr>
            <w:tcW w:w="1678"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67" w:type="dxa"/>
            <w:tcBorders/>
            <w:shd w:fill="CCEEFF" w:val="clear"/>
            <w:tcMar>
              <w:bottom w:w="0" w:type="dxa"/>
            </w:tcMar>
            <w:vAlign w:val="center"/>
          </w:tcPr>
          <w:p>
            <w:pPr>
              <w:pStyle w:val="TableContents"/>
              <w:bidi w:val="0"/>
              <w:spacing w:before="0" w:after="283"/>
              <w:ind w:left="0" w:right="0" w:hanging="0"/>
              <w:jc w:val="left"/>
              <w:rPr/>
            </w:pPr>
            <w:hyperlink w:anchor="ea029091801ex10-1.htm">
              <w:r>
                <w:rPr>
                  <w:rStyle w:val="InternetLink"/>
                </w:rPr>
                <w:t>Form of Amended and Restated Change in Control Severance Agreement.</w:t>
              </w:r>
            </w:hyperlink>
          </w:p>
        </w:tc>
      </w:tr>
      <w:tr>
        <w:trPr/>
        <w:tc>
          <w:tcPr>
            <w:tcW w:w="16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7"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678"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67"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2880" w:right="0" w:hanging="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504"/>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04"/>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1760"/>
        <w:gridCol w:w="320"/>
        <w:gridCol w:w="5360"/>
      </w:tblGrid>
      <w:tr>
        <w:trPr/>
        <w:tc>
          <w:tcPr>
            <w:tcW w:w="17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80" w:type="dxa"/>
            <w:gridSpan w:val="2"/>
            <w:tcBorders/>
            <w:vAlign w:val="center"/>
          </w:tcPr>
          <w:p>
            <w:pPr>
              <w:pStyle w:val="TableContents"/>
              <w:bidi w:val="0"/>
              <w:spacing w:before="0" w:after="283"/>
              <w:jc w:val="left"/>
              <w:rPr>
                <w:b/>
                <w:sz w:val="20"/>
              </w:rPr>
            </w:pPr>
            <w:r>
              <w:rPr>
                <w:b/>
                <w:sz w:val="20"/>
              </w:rPr>
              <w:t>AEye, Inc.</w:t>
            </w:r>
          </w:p>
        </w:tc>
      </w:tr>
      <w:tr>
        <w:trPr/>
        <w:tc>
          <w:tcPr>
            <w:tcW w:w="1760" w:type="dxa"/>
            <w:tcBorders/>
            <w:vAlign w:val="center"/>
          </w:tcPr>
          <w:p>
            <w:pPr>
              <w:pStyle w:val="TableContents"/>
              <w:bidi w:val="0"/>
              <w:spacing w:before="0" w:after="283"/>
              <w:jc w:val="left"/>
              <w:rPr/>
            </w:pPr>
            <w:r>
              <w:rPr/>
              <w:t> </w:t>
            </w:r>
          </w:p>
        </w:tc>
        <w:tc>
          <w:tcPr>
            <w:tcW w:w="568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Dated: May 15, 2026</w:t>
            </w:r>
          </w:p>
        </w:tc>
        <w:tc>
          <w:tcPr>
            <w:tcW w:w="568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Andrew S. Hughes</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sz w:val="20"/>
              </w:rPr>
            </w:pPr>
            <w:r>
              <w:rPr>
                <w:sz w:val="20"/>
              </w:rPr>
              <w:t>Andrew S. Hughes</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sz w:val="20"/>
              </w:rPr>
            </w:pPr>
            <w:r>
              <w:rPr>
                <w:sz w:val="20"/>
              </w:rPr>
              <w:t>Executive Vice President, 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9091801ex10-1.htm"/>
      <w:bookmarkStart w:id="27" w:name="ksea029091801ex101"/>
      <w:bookmarkEnd w:id="26"/>
      <w:bookmarkEnd w:id="27"/>
      <w:r>
        <w:rPr>
          <w:rFonts w:ascii="Times New Roman;Times;Serif" w:hAnsi="Times New Roman;Times;Serif"/>
          <w:b/>
          <w:i w:val="false"/>
          <w:caps w:val="false"/>
          <w:smallCaps w:val="false"/>
          <w:sz w:val="20"/>
        </w:rPr>
        <w:t>Exhibit 10.1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CHANGE IN CONTROL SEVERANCE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on [________________], between [________________]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AEye,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this Agreement is intended to provide Executive with the compensation and benefits described herein upon the occurrence of specific events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Executive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Executive is currently employed as an executive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This Agreement shall remain in full force and effect during the term of Executive’s employment with the Company, unless amended pursuant to Section 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The Company and Executive wish to set forth the compensation and benefits which Executive shall be entitled to receive if Executive’s employment with the Company terminates under the circumstances described in Article II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The duties and obligations of the Company to Executive under this Agreement shall be in consideration for Executive’s continued employment with the Company and Executive’s execution of the general waiver and release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Entitlement To Severance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Executive’s employment terminates due to an Involuntary Termination or a Voluntary Termination for Good Reason (as hereinafter defined), in either case, immediately prior to, on, or within twenty-four (24) months following the effective date of a Change in Control, the termination of employment will be a Covered Termination and the Company shall pay Executive the severance benefits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Executive’s employment terminates due to an Involuntary Termination or a Voluntary Termination for Good Reason, but not immediately prior to, on, or within twenty-four (24) months following the effective date of a Change in Control, then the termination of employment will not be a Covered Termination but shall be deemed a Unilateral Termination and in such case, Executive will be entitled to receive a cash severance payment equal to [___]% of the Executive’s Annual Base Pay and the COBRA benefits described in Section 2.3, below, however, such COBRA benefits in the event of a Unilateral Termination shall be limited to the date that is [___] months from the date such COBRA coverage begins.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40" w:after="120"/>
        <w:ind w:left="72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clarity, regardless of the reason for or timing of termination of employment, the Company shall pay Executive his or her accrued but unpaid wages through his or her Date of Termination and all other vested amounts to which Executive is due as of the Date of Termination under the Company’s compensation plans and programs, regardless of whether Executive signs the general waiver and release of claims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Lump Sum Severance Payment</w:t>
      </w:r>
      <w:r>
        <w:rPr>
          <w:rFonts w:ascii="Times New Roman;Times;Serif" w:hAnsi="Times New Roman;Times;Serif"/>
          <w:b w:val="false"/>
          <w:i w:val="false"/>
          <w:caps w:val="false"/>
          <w:smallCaps w:val="false"/>
          <w:sz w:val="20"/>
        </w:rPr>
        <w:t>. If Executive experiences a Covered Termination, the Company shall pay to the Executive, as cash severance, the sum of (i) Executive’s Annual Bonus, pro-rated for the year of termination, based on service through the Date of Termination and (ii) 150% of the sum of the Executive’s Annual Base Pay and Annual Bonus (the “</w:t>
      </w:r>
      <w:r>
        <w:rPr>
          <w:rFonts w:ascii="Times New Roman;Times;Serif" w:hAnsi="Times New Roman;Times;Serif"/>
          <w:b w:val="false"/>
          <w:i w:val="false"/>
          <w:caps w:val="false"/>
          <w:smallCaps w:val="false"/>
          <w:sz w:val="20"/>
          <w:u w:val="single"/>
        </w:rPr>
        <w:t>Cash Severance</w:t>
      </w:r>
      <w:r>
        <w:rPr>
          <w:rFonts w:ascii="Times New Roman;Times;Serif" w:hAnsi="Times New Roman;Times;Serif"/>
          <w:b w:val="false"/>
          <w:i w:val="false"/>
          <w:caps w:val="false"/>
          <w:smallCaps w:val="false"/>
          <w:sz w:val="20"/>
        </w:rPr>
        <w:t>”). The Company will pay the Cash Severance on the 60th day following the Date of Termination (the “</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unless extension of the payment date is required under Section 7.1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COBRA Benefits</w:t>
      </w:r>
      <w:r>
        <w:rPr>
          <w:rFonts w:ascii="Times New Roman;Times;Serif" w:hAnsi="Times New Roman;Times;Serif"/>
          <w:b w:val="false"/>
          <w:i w:val="false"/>
          <w:caps w:val="false"/>
          <w:smallCaps w:val="false"/>
          <w:sz w:val="20"/>
        </w:rPr>
        <w:t>. If Executive experiences a Covered Termination, and provided Executive (and, if applicable, Executive’s covered dependents) elects to continue Executive’s group health insurance coverage (as in effect immediately prior to the Covered Termination) under the Consolidated Omnibus Budget Reconciliation Act of 1985, as amended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the Company will pay the applicable premiums for such coverage (less the portion of the monthly payment Executive was responsible for paying immediately prior to his or her termination, if any) directly to the applicable benefit plan administrator for the period running from the Date of Termination until the earliest to occur of (i) the date Executive (and, if applicable, Executive’s covered dependents) ceases to be eligible for COBRA, (ii) the date Executive obtains comparable coverage from a subsequent employer, and (iii) the date that is 18 months after the date COBRA coverage begins (the “</w:t>
      </w:r>
      <w:r>
        <w:rPr>
          <w:rFonts w:ascii="Times New Roman;Times;Serif" w:hAnsi="Times New Roman;Times;Serif"/>
          <w:b w:val="false"/>
          <w:i w:val="false"/>
          <w:caps w:val="false"/>
          <w:smallCaps w:val="false"/>
          <w:sz w:val="20"/>
          <w:u w:val="single"/>
        </w:rPr>
        <w:t>COBRA Benefit</w:t>
      </w:r>
      <w:r>
        <w:rPr>
          <w:rFonts w:ascii="Times New Roman;Times;Serif" w:hAnsi="Times New Roman;Times;Serif"/>
          <w:b w:val="false"/>
          <w:i w:val="false"/>
          <w:caps w:val="false"/>
          <w:smallCaps w:val="false"/>
          <w:sz w:val="20"/>
        </w:rPr>
        <w:t>”). The Company will pay the COBRA Benefit as and when due to the applicable carrier (which may include medical, prescription drug, dental, and vision, depending on Executive’s participation as of immediately prior to the Covered Termination), provided no payment will be made prior to the Payment Date, and on the Payment Date, the Company will make payments in respect of any premiums due prior to such date, with the balance paid thereafter as and when due, in each case, unless extension of the payment date is required under Section 7.1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Accelerated Vesting of Equity Awards</w:t>
      </w:r>
      <w:r>
        <w:rPr>
          <w:rFonts w:ascii="Times New Roman;Times;Serif" w:hAnsi="Times New Roman;Times;Serif"/>
          <w:b w:val="false"/>
          <w:i w:val="false"/>
          <w:caps w:val="false"/>
          <w:smallCaps w:val="false"/>
          <w:sz w:val="20"/>
        </w:rPr>
        <w:t>. If Executive experiences a Covered Termination, and after taking into account the determinations required to be made under Section 4.2, below, the Company shall accelerate in full the vesting and exercisability of all of Executive’s then-outstanding compensatory equity awards, effective as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Mitigation</w:t>
      </w:r>
      <w:r>
        <w:rPr>
          <w:rFonts w:ascii="Times New Roman;Times;Serif" w:hAnsi="Times New Roman;Times;Serif"/>
          <w:b w:val="false"/>
          <w:i w:val="false"/>
          <w:caps w:val="false"/>
          <w:smallCaps w:val="false"/>
          <w:sz w:val="20"/>
        </w:rPr>
        <w:t>. Except as otherwise specifically provided herein, Executive shall not be required to mitigate 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retirement benefits after the date of the Covered Termination, Unilateral Termination,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AND CONDITIONS 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Withholding of Taxes</w:t>
      </w:r>
      <w:r>
        <w:rPr>
          <w:rFonts w:ascii="Times New Roman;Times;Serif" w:hAnsi="Times New Roman;Times;Serif"/>
          <w:b w:val="false"/>
          <w:i w:val="false"/>
          <w:caps w:val="false"/>
          <w:smallCaps w:val="false"/>
          <w:sz w:val="20"/>
        </w:rPr>
        <w:t>. The Company shall withhold appropriate federal, state, and local income and employment taxes from any payments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Employee Agreement and Release Prior to Receipt of Benefits</w:t>
      </w:r>
      <w:r>
        <w:rPr>
          <w:rFonts w:ascii="Times New Roman;Times;Serif" w:hAnsi="Times New Roman;Times;Serif"/>
          <w:b w:val="false"/>
          <w:i w:val="false"/>
          <w:caps w:val="false"/>
          <w:smallCaps w:val="false"/>
          <w:sz w:val="20"/>
        </w:rPr>
        <w:t>. Not later than the Payment Date, Executive must sign, return, and allow to become effective the general waiver and release of claims in substantially the form attached hereto as Exhibit A. Such employee agreement and release shall specifically relate to all of Executive’s rights and claims in existence at the time of such execution relating to Executive’s employment with and rights to receive compensation from the Company (and any successor thereto) and shall confirm Executive’s obligations under the Company’s standard form of proprietary information agreement. It is understood such employee release and agreement shall comply with applicable law. In the event Executive does not execute and allow such release to become and remain effective by the Payment Date, Executive will have no rights to receive the severance payments and benefits under this Agreement and this Agreement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Section 280G/4999</w:t>
      </w:r>
      <w:r>
        <w:rPr>
          <w:rFonts w:ascii="Times New Roman;Times;Serif" w:hAnsi="Times New Roman;Times;Serif"/>
          <w:b w:val="false"/>
          <w:i w:val="false"/>
          <w:caps w:val="false"/>
          <w:smallCaps w:val="false"/>
          <w:sz w:val="20"/>
        </w:rPr>
        <w:t>. If any payment or benefit that Executive would receive from the Company or otherwise in connection with a Change in Control or other similar transaction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would (i) constitute a “parachute payment” within the meaning of Section 280G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(ii) but for this sentence, be subject to the excise tax imposed by Section 4999 of the Code (the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then such Payment will be equal to the Reduced Amount. The “Reduced Amount” will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Executive’s receipt of the greater economic benefit notwithstanding that all or some portion of the Payment may be subject to the Excise Tax. If a Reduced Amount will give rise to the greater after-tax benefit, the reduction in the Payments will occur in the following order: (a) reduction of cash payments; (b) cancellation of accelerated vesting of equity awards other than stock options; (c) cancellation of accelerated vesting of stock options; and (d) reduction of other benefits. Within any such category of payments and benefits (that is, (a), (b), (c) or (d)), a reduction will occur first with respect to amounts that are not “deferred compensation” within the meaning of Section 409A and then with respect to amounts that are. If acceleration of compensation from equity awards is to be reduced, such acceleration of vesting will be canceled, subject to the immediately preceding sentence, in the reverse order of the date of grant. These calculations shall be prepared by the Company and reviewed for accuracy by Executive and the Company’s regular certified public accountants (or nationally recognized accounting firm of similar stature selected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RIGHTS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Nonexclusivity</w:t>
      </w:r>
      <w:r>
        <w:rPr>
          <w:rFonts w:ascii="Times New Roman;Times;Serif" w:hAnsi="Times New Roman;Times;Serif"/>
          <w:b w:val="false"/>
          <w:i w:val="false"/>
          <w:caps w:val="false"/>
          <w:smallCaps w:val="false"/>
          <w:sz w:val="20"/>
        </w:rPr>
        <w:t>. Nothing in this Agreement shall prevent or limit Executive’s continuing or future participation in any benefit, bonus, incentive, or other plans, programs, policies, or practices provided by the Company and for which Executive may otherwise qualify, nor shall anything herein limit or otherwise affect such rights as Executive may have under any stock option or other agreements with the Company. Except as otherwise expressly provided herein, amounts which are vested benefits or which Executive is otherwise entitled to receive under any plan, policy, practice, or program of the Company at or subsequent to the date of a Covered Termination or Unilateral Termination shall be payable in accordance with such plan, policy, practice, 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Performance-Based Equity Awards</w:t>
      </w:r>
      <w:r>
        <w:rPr>
          <w:rFonts w:ascii="Times New Roman;Times;Serif" w:hAnsi="Times New Roman;Times;Serif"/>
          <w:b w:val="false"/>
          <w:i w:val="false"/>
          <w:caps w:val="false"/>
          <w:smallCaps w:val="false"/>
          <w:sz w:val="20"/>
        </w:rPr>
        <w:t>. With respect to compensatory equity awards that may be granted to Executive by the Company during Executive’s employment with the Company, and that remain unvested and subject to an on-going performance-based vesting condition as of immediately prior to the Change in Control (including but not limited to market stock units (“</w:t>
      </w:r>
      <w:r>
        <w:rPr>
          <w:rFonts w:ascii="Times New Roman;Times;Serif" w:hAnsi="Times New Roman;Times;Serif"/>
          <w:b w:val="false"/>
          <w:i w:val="false"/>
          <w:caps w:val="false"/>
          <w:smallCaps w:val="false"/>
          <w:sz w:val="20"/>
          <w:u w:val="single"/>
        </w:rPr>
        <w:t>MSUs</w:t>
      </w:r>
      <w:r>
        <w:rPr>
          <w:rFonts w:ascii="Times New Roman;Times;Serif" w:hAnsi="Times New Roman;Times;Serif"/>
          <w:b w:val="false"/>
          <w:i w:val="false"/>
          <w:caps w:val="false"/>
          <w:smallCaps w:val="false"/>
          <w:sz w:val="20"/>
        </w:rPr>
        <w:t>”) and market stock options (“</w:t>
      </w:r>
      <w:r>
        <w:rPr>
          <w:rFonts w:ascii="Times New Roman;Times;Serif" w:hAnsi="Times New Roman;Times;Serif"/>
          <w:b w:val="false"/>
          <w:i w:val="false"/>
          <w:caps w:val="false"/>
          <w:smallCaps w:val="false"/>
          <w:sz w:val="20"/>
          <w:u w:val="single"/>
        </w:rPr>
        <w:t>MSOs</w:t>
      </w:r>
      <w:r>
        <w:rPr>
          <w:rFonts w:ascii="Times New Roman;Times;Serif" w:hAnsi="Times New Roman;Times;Serif"/>
          <w:b w:val="false"/>
          <w:i w:val="false"/>
          <w:caps w:val="false"/>
          <w:smallCaps w:val="false"/>
          <w:sz w:val="20"/>
        </w:rPr>
        <w:t>”) (any such awards, the “</w:t>
      </w:r>
      <w:r>
        <w:rPr>
          <w:rFonts w:ascii="Times New Roman;Times;Serif" w:hAnsi="Times New Roman;Times;Serif"/>
          <w:b w:val="false"/>
          <w:i w:val="false"/>
          <w:caps w:val="false"/>
          <w:smallCaps w:val="false"/>
          <w:sz w:val="20"/>
          <w:u w:val="single"/>
        </w:rPr>
        <w:t>Performance-Based Equity Awards</w:t>
      </w:r>
      <w:r>
        <w:rPr>
          <w:rFonts w:ascii="Times New Roman;Times;Serif" w:hAnsi="Times New Roman;Times;Serif"/>
          <w:b w:val="false"/>
          <w:i w:val="false"/>
          <w:caps w:val="false"/>
          <w:smallCaps w:val="false"/>
          <w:sz w:val="20"/>
        </w:rPr>
        <w:t>”)), the Company shall take the following actions, effective as of immediately prior to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Performance-Based Equity Awards as to which the performance period has been completed prior to the Change in Control, but as to which performance has not yet been measured or certified, the Company shall determine the number of shares, units, or options to be credited to Executive as having satisfied the performance conditions based on the actual performance during the completed performance period, and Executive shall continue to vest in such credited Performance-Based Equity Awards from and after the closing of the Change in Control based on the original time-based vesting schedule applicable to such awards (subject to the full acceleration of vesting on a Covered Termination as set forth in Section 2.4);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Performance-Based Equity Awards as to which the performance period remains in progress as of immediately prior to the closing of the Change in Control, the Company shall determine the number of shares, units, or options to be credited to Executive as having satisfied the performance conditions based on the actual performance through the day immediately preceding the Change in Control (by way of example, performance under the MSUs shall be measured against the average closing price of the Company’s common stock over the 90 calendar days immediately preceding the Change in Control), and Executive shall continue to time-vest in such credited Performance-Based Equity Awards from and after the closing of the Change in Control based on the original time-based vesting schedule applicable to such awards (subject to the full acceleration of vesting on a Covered Termination as set forth in Section 2.4).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NON-ALIENATION OF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benefit hereunder shall be subject to anticipation, alienation, sale, transfer, assignment, pledge, encumbrance, or charge, and any attempt to so subject a benefit hereunder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Amended and Restated Change in Control Severance Agreement, which amends, restates, and replaces, in its entirety, any prior Change in Control Severance Agreement to which Executive and Company are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Annual Base Pay</w:t>
      </w:r>
      <w:r>
        <w:rPr>
          <w:rFonts w:ascii="Times New Roman;Times;Serif" w:hAnsi="Times New Roman;Times;Serif"/>
          <w:b w:val="false"/>
          <w:i w:val="false"/>
          <w:caps w:val="false"/>
          <w:smallCaps w:val="false"/>
          <w:sz w:val="20"/>
        </w:rPr>
        <w:t>” means Executive’s annual base pay at the rate in effect during the last regularly scheduled payroll period immediately preceding (i) the Change in Control or (ii) the Covered Termination or the Unilateral Termination, as applicable (disregarding any reduction in base pay that forms the basis for the Covered Termination or the Unilateral Termination, as applicable), whichever is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means the Executive’s target annual cash incentive bonus for the fiscal year of the Company in which termination of Executive’s employment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consummation of any of the following transactions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the stockholders of the Company approve a plan of liquidation or dissolution of the Company or an agreement for the sale, lease, exchange, or other transfer or disposition by the Company of all or substantially all (more than fifty percent (50%)) of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any person (as such term is used in Sections 13(d)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is or becomes the beneficial owner (within the meaning of Rule 13d-3 under the Exchange Act) directly or indirectly of 25% or more of the Company’s outstanding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 change in the composition of the Board of Directors of the Company within a three (3) year period, as a result of which fewer than a majority of the directors are Incumbent Directors. “Incumbent Directors” shall mean directors who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are directors of the Company as of the effective date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are elected, or nominated for election, to the Board of Directors of the Company with the affirmative votes of at least a majority of the directors of the Company who are Incumbent Directors described in (A) above at the time of such election or nomination;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are elected, or nominated for election, to the Board of Directors of the Company with the affirmative votes of at least a majority of the directors of the Company who are Incumbent Directors described in (A) or (B) above at the time of such election or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“Incumbent Directors” shall not include an individual whose election or nomination is in connection with an actual or threatened proxy contest relating to the election of directors to the Company. In addition, to the extent necessary for compliance with Code Section 409A, a Change in Control will not be deemed to occur unless such transaction also satisfies the requirements of Treasury Regulations Section 1.409A-3(i)(5).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AEye, Inc., a Delaware corporation,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Covered Termination</w:t>
      </w:r>
      <w:r>
        <w:rPr>
          <w:rFonts w:ascii="Times New Roman;Times;Serif" w:hAnsi="Times New Roman;Times;Serif"/>
          <w:b w:val="false"/>
          <w:i w:val="false"/>
          <w:caps w:val="false"/>
          <w:smallCaps w:val="false"/>
          <w:sz w:val="20"/>
        </w:rPr>
        <w:t>” means an Involuntary Termination or a Voluntary Termination for Good Reason, in either case, immediately prior to, on, or within twenty-four (24) months following a Change in Control. No other event shall be a Covered Termination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Date of Termination</w:t>
      </w:r>
      <w:r>
        <w:rPr>
          <w:rFonts w:ascii="Times New Roman;Times;Serif" w:hAnsi="Times New Roman;Times;Serif"/>
          <w:b w:val="false"/>
          <w:i w:val="false"/>
          <w:caps w:val="false"/>
          <w:smallCaps w:val="false"/>
          <w:sz w:val="20"/>
        </w:rPr>
        <w:t>” means the date of termination of Executive’s employment with the Company or its subsidiaries as a result of a Covered Termination or a Unilateral Termination, which termination is also a “separation from service” within the meaning of Treasury Regulations Section 1.409A-1(h), without regard to any alternative definition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Involuntary Termination</w:t>
      </w:r>
      <w:r>
        <w:rPr>
          <w:rFonts w:ascii="Times New Roman;Times;Serif" w:hAnsi="Times New Roman;Times;Serif"/>
          <w:b w:val="false"/>
          <w:i w:val="false"/>
          <w:caps w:val="false"/>
          <w:smallCaps w:val="false"/>
          <w:sz w:val="20"/>
        </w:rPr>
        <w:t>” means Executive’s dismissal or discharge by the Company or its subsidiaries (or, if applicable, by the successor entity) for reasons other than fraud, misappropriation, or embezzlement on the part of Executive which resulted in material loss, damage, or injury to the Company. Notwithstanding the foregoing, Executive shall not be deemed to have been terminated for one of these reasons unless and until there shall have been delivered to Executive a copy of a resolution, duly adopted by the affirmative vote of not less than three-quarters of the entire membership of the Company’s Board of Directors at a meeting of the Board called and held for the purpose (after reasonable notice to Executive and an opportunity for the Executive, together with Executive’s counsel, to be heard before the Board of Directors), finding that in the good faith opinion of the Board of Directors, Executive was guilty of conduct set forth in the immediately preceding sentence and specifying the particulars thereof in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Executive’s employment would not be deemed to be an “Involuntary Termination” if such termination occurs as a result of the death or disability of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Voluntary Termination for Good Reason</w:t>
      </w:r>
      <w:r>
        <w:rPr>
          <w:rFonts w:ascii="Times New Roman;Times;Serif" w:hAnsi="Times New Roman;Times;Serif"/>
          <w:b w:val="false"/>
          <w:i w:val="false"/>
          <w:caps w:val="false"/>
          <w:smallCaps w:val="false"/>
          <w:sz w:val="20"/>
        </w:rPr>
        <w:t>” means that Executive voluntarily terminates his or her employment after any of the following are undertaken without Executive’s express written consent, provided that Executive (i) gives written notice to the Company within 90 days after the occurrence of the event giving rise to Good Reason, (ii) the Company has failed to cure the event within 30 days after receipt of the written notice, and (iii) Executive resigns from all positions Executive then holds with the Company within 30 days after the expiration of the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assignment to or removal from Executive of any primary duties or primary responsibilities which result in any diminution or adverse change of Executive’s primary position, primary status, or primary circumstances of employment as in effect immediately prior to the Change in Control of the Company or the Unilateral Termination, as applicable, except in connection with the termination of his or her employment for death, disability, retirement, fraud, misappropriation, embezzlement, or any other voluntary termination of employment by Executive other than Voluntary Termination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 reduction by the Company in Executive’s Annual Base Pay or Annual Bonus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any failure by the Company to continue in effect any benefit plan or arrangement, including incentive plans or plans to receive securities of the Company, in which Executive is participating at the time of the Change in Control of the Company or a Unilateral Termination, as applicable (hereinafter referred to as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or the taking of any action by the Company which would adversely affect Executive’s participation in or reduce Executive’s benefits under any Benefit Plans or deprive Executive of any fringe benefit enjoyed by Executive at the time of the Change in Control of the Company or a Unilateral Termination, as applicable, provided, however, that Executive may not terminate for Good Reason following a Change in Control of the Company or a Unilateral Termination, as applicable, if the Company offers a range of benefit plans and programs which, taken as a whole, are comparable to the Benefit Plans, as determined in good faith by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 relocation of Executive’s principal work place, or the Company’s principal executive offices if Executive’s principal office is at such offices, to a location more than 30 miles from the location at which Executive performed Executive’s duties immediately prior to the Change in Control of the Company or Unilateral Termination, as applicable, which relocation increases Executive’s one way commute by more than 30 miles, except for required travel by Executive on the Company’s business to an extent substantially consistent with Executive’s business travel obligations at the time of the Change in Control of the Company or a Unilateral Termination,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breach by the Company of any provision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any failure by the Company to obtain the assumption of this Agreement by any successor or assign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Unilateral Termination</w:t>
      </w:r>
      <w:r>
        <w:rPr>
          <w:rFonts w:ascii="Times New Roman;Times;Serif" w:hAnsi="Times New Roman;Times;Serif"/>
          <w:b w:val="false"/>
          <w:i w:val="false"/>
          <w:caps w:val="false"/>
          <w:smallCaps w:val="false"/>
          <w:sz w:val="20"/>
        </w:rPr>
        <w:t>” means an Involuntary Termination or a Voluntary Termination for Good Reason, in either case, but is a termination not immediately prior to, on, or within twenty-four (24) months following a Change in Control. An event can be either a Covered Termination or a Unilateral Termination for purposes of this Agreement, but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and Executive intend that all of the benefits and payments under this Agreement satisfy, to the greatest extent possible, the exemptions from the application of Code Section 409A provided under Treasury Regulations 1.409A-1(b)(4), 1.409A-1(b)(5), and 1.409A-1(b)(9), and this Agreement will be construed to the greatest extent possible as consistent with those provisions. For purposes of Code Section 409A (including, without limitation, for purposes of Treasury Regulation Section 1.409A-2(b)(2)(iii)), Executive’s right to receive any installment payments under this Agreement (whether severance payments, reimbursements, or otherwise) and any affected compensatory equity agreement will be treated as a right to receive a series of separate payments and, accordingly, each installment payment will at all times be considered a separate and distinct payment. Any amounts payable upon Executive’s termination of employment shall only be paid upon Executive’s “separation from service” as defined under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any amounts due under this Agreement are not exempt under Code Section 409A, the provisions of this Agreement applicable to such amounts will be construed in a manner that complies with Code Section 409A, and incorporates by reference all required definitions and payment terms. If Executive is a “specified employee” within the meaning of Code Section 409A and the regulations issued thereunder, and a payment or benefit provided for in this Agreement would be subject to additional tax under Code Section 409A if the payment or benefit is paid within six (6) months after Executive’s “separation from service” (within the meaning of Code Section 409A), then such payment or benefit shall not be paid (or commence) until the first day which is six (6) months after Executive’s separation from service. In such case, any payments that would otherwise have been made during such period shall be made to Executive in a lump sum as soon as administratively feasible upon the earlier of (i) the date that is six (6) months after termination of Executive’s separation from service or (ii) Executive’s death. Furthermore, notwithstanding any other provision of this Agreement to the contrary, it is specifically understood and agreed that the Company may unilaterally amend this Agreement to the extent necessary to effect compliance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Employment Status</w:t>
      </w:r>
      <w:r>
        <w:rPr>
          <w:rFonts w:ascii="Times New Roman;Times;Serif" w:hAnsi="Times New Roman;Times;Serif"/>
          <w:b w:val="false"/>
          <w:i w:val="false"/>
          <w:caps w:val="false"/>
          <w:smallCaps w:val="false"/>
          <w:sz w:val="20"/>
        </w:rPr>
        <w:t>. This Agreement does not constitute a contract of employment or impose on Executive any obligation to remain as an employee, or impose on the Company any obligation (i) to retain Executive as an employee, (ii) to change the status of Executive as an at-will employee, or (iii) to change the Company’s policies regarding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Notices</w:t>
      </w:r>
      <w:r>
        <w:rPr>
          <w:rFonts w:ascii="Times New Roman;Times;Serif" w:hAnsi="Times New Roman;Times;Serif"/>
          <w:b w:val="false"/>
          <w:i w:val="false"/>
          <w:caps w:val="false"/>
          <w:smallCaps w:val="false"/>
          <w:sz w:val="20"/>
        </w:rPr>
        <w:t>. Any notices provided hereunder must be in writing and such notices or any other written communication shall be deemed effective upon the earlier of personal delivery (including personal delivery by facsimile or national overnight delivery service such as FedEx) or the third day after mailing by first class mail, to the Company at its primary office location and to Executive at his or her address as listed in the Company’s payroll records. Any payments made by the Company to Executive under the terms of this Agreement shall be delivered to Executive either in person, by direct deposit into Executive’s bank account listed in the Company’s payroll records, or at his or her address as listed in the Company’s payroll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Severability</w:t>
      </w:r>
      <w:r>
        <w:rPr>
          <w:rFonts w:ascii="Times New Roman;Times;Serif" w:hAnsi="Times New Roman;Times;Serif"/>
          <w:b w:val="false"/>
          <w:i w:val="false"/>
          <w:caps w:val="false"/>
          <w:smallCaps w:val="false"/>
          <w:sz w:val="20"/>
        </w:rPr>
        <w:t>. Whenever possible, each provision of this Agreement will be interpreted in such manner as to be effective and valid under applicable law. If any provision of this Agreement is held to be invalid, illegal, or unenforceable in any respect under any applicable law or rule in any jurisdiction, such invalidity, illegality, or unenforceability will not affect any other provision or any other jurisdiction. Instead, this Agreement will be reformed, construed, and enforced in such jurisdiction as if such invalid, illegal, or unenforceable provisions had never been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Waiver</w:t>
      </w:r>
      <w:r>
        <w:rPr>
          <w:rFonts w:ascii="Times New Roman;Times;Serif" w:hAnsi="Times New Roman;Times;Serif"/>
          <w:b w:val="false"/>
          <w:i w:val="false"/>
          <w:caps w:val="false"/>
          <w:smallCaps w:val="false"/>
          <w:sz w:val="20"/>
        </w:rPr>
        <w:t>. If either party should waive any breach of any provisions of the Agreement, that party shall not thereby be deemed to have waived any preceding or succeeding breach of the same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Complete Agreement</w:t>
      </w:r>
      <w:r>
        <w:rPr>
          <w:rFonts w:ascii="Times New Roman;Times;Serif" w:hAnsi="Times New Roman;Times;Serif"/>
          <w:b w:val="false"/>
          <w:i w:val="false"/>
          <w:caps w:val="false"/>
          <w:smallCaps w:val="false"/>
          <w:sz w:val="20"/>
        </w:rPr>
        <w:t>. This Agreement, including Exhibit A and other written agreements referred to in this Agreement, constitutes the entire agreement between Executive and the Company (and it is the complete, final, and exclusive embodiment of their agreement) with regard to the subject matter hereof, and expressly supersedes all other agreements, promises, or understandings, whether oral or written, including, but not limited to, the acceleration of vesting provisions set forth in compensatory equity awards granted prior to the date of this Agreement. This Agreement is entered into without reliance on any promise or representation other than those expressly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Amendment</w:t>
      </w:r>
      <w:r>
        <w:rPr>
          <w:rFonts w:ascii="Times New Roman;Times;Serif" w:hAnsi="Times New Roman;Times;Serif"/>
          <w:b w:val="false"/>
          <w:i w:val="false"/>
          <w:caps w:val="false"/>
          <w:smallCaps w:val="false"/>
          <w:sz w:val="20"/>
        </w:rPr>
        <w:t>. This Agreement may be amended only upon the mutual written consent of the Company and Executive. The written consent of the Company must be signed by a duly authorized officer of the Company who is not a party to this Agreement, and only after such change has been approved by the Compensation Committee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Counterparts</w:t>
      </w:r>
      <w:r>
        <w:rPr>
          <w:rFonts w:ascii="Times New Roman;Times;Serif" w:hAnsi="Times New Roman;Times;Serif"/>
          <w:b w:val="false"/>
          <w:i w:val="false"/>
          <w:caps w:val="false"/>
          <w:smallCaps w:val="false"/>
          <w:sz w:val="20"/>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Headings</w:t>
      </w:r>
      <w:r>
        <w:rPr>
          <w:rFonts w:ascii="Times New Roman;Times;Serif" w:hAnsi="Times New Roman;Times;Serif"/>
          <w:b w:val="false"/>
          <w:i w:val="false"/>
          <w:caps w:val="false"/>
          <w:smallCaps w:val="false"/>
          <w:sz w:val="20"/>
        </w:rPr>
        <w:t>. The headings of the Articles and sections hereof are inserted for convenience only and shall not be deemed to constitute a part hereof nor to affect the meaning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Successors and Assigns</w:t>
      </w:r>
      <w:r>
        <w:rPr>
          <w:rFonts w:ascii="Times New Roman;Times;Serif" w:hAnsi="Times New Roman;Times;Serif"/>
          <w:b w:val="false"/>
          <w:i w:val="false"/>
          <w:caps w:val="false"/>
          <w:smallCaps w:val="false"/>
          <w:sz w:val="20"/>
        </w:rPr>
        <w:t>. This Agreement is intended to bind and inure to the benefit of and be enforceable by Executive and the Company, and their respective successors, assigns, heirs, executors, and administrators, except that Executive may not assign any of Executive’s duties hereunder without the written consent of the Company, which consent shall not be withheld unreasonably.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Attorneys’ Fees</w:t>
      </w:r>
      <w:r>
        <w:rPr>
          <w:rFonts w:ascii="Times New Roman;Times;Serif" w:hAnsi="Times New Roman;Times;Serif"/>
          <w:b w:val="false"/>
          <w:i w:val="false"/>
          <w:caps w:val="false"/>
          <w:smallCaps w:val="false"/>
          <w:sz w:val="20"/>
        </w:rPr>
        <w:t>. If Executive brings any action to enforce Executive’s rights hereunder, Executive shall be entitled to recover Executive’s reasonable attorneys’ fees and costs incurred in connection with such action if Executive is the prevailing party in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Choice of Law</w:t>
      </w:r>
      <w:r>
        <w:rPr>
          <w:rFonts w:ascii="Times New Roman;Times;Serif" w:hAnsi="Times New Roman;Times;Serif"/>
          <w:b w:val="false"/>
          <w:i w:val="false"/>
          <w:caps w:val="false"/>
          <w:smallCaps w:val="false"/>
          <w:sz w:val="20"/>
        </w:rPr>
        <w:t>. All questions concerning the construction, validity, and interpretation of this Agreement will be governed by the law of the State of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Construction of Agreement</w:t>
      </w:r>
      <w:r>
        <w:rPr>
          <w:rFonts w:ascii="Times New Roman;Times;Serif" w:hAnsi="Times New Roman;Times;Serif"/>
          <w:b w:val="false"/>
          <w:i w:val="false"/>
          <w:caps w:val="false"/>
          <w:smallCaps w:val="false"/>
          <w:sz w:val="20"/>
        </w:rPr>
        <w:t>. In the event of a conflict between the text of this Agreement and any summary, description, or other information regarding this Agreement, the text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Appear on the Following Page</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on the day and year written above.</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5"/>
        <w:gridCol w:w="2510"/>
        <w:gridCol w:w="75"/>
      </w:tblGrid>
      <w:tr>
        <w:trPr/>
        <w:tc>
          <w:tcPr>
            <w:tcW w:w="3265" w:type="dxa"/>
            <w:gridSpan w:val="2"/>
            <w:tcBorders/>
            <w:vAlign w:val="center"/>
          </w:tcPr>
          <w:p>
            <w:pPr>
              <w:pStyle w:val="TableContents"/>
              <w:bidi w:val="0"/>
              <w:spacing w:before="0" w:after="283"/>
              <w:jc w:val="left"/>
              <w:rPr/>
            </w:pPr>
            <w:r>
              <w:rPr/>
              <w:t>AEye, Inc.,</w:t>
            </w:r>
          </w:p>
        </w:tc>
        <w:tc>
          <w:tcPr>
            <w:tcW w:w="75" w:type="dxa"/>
            <w:tcBorders/>
            <w:vAlign w:val="center"/>
          </w:tcPr>
          <w:p>
            <w:pPr>
              <w:pStyle w:val="TableContents"/>
              <w:bidi w:val="0"/>
              <w:spacing w:before="0" w:after="283"/>
              <w:jc w:val="left"/>
              <w:rPr/>
            </w:pPr>
            <w:r>
              <w:rPr/>
              <w:t> </w:t>
            </w:r>
          </w:p>
        </w:tc>
      </w:tr>
      <w:tr>
        <w:trPr/>
        <w:tc>
          <w:tcPr>
            <w:tcW w:w="3265" w:type="dxa"/>
            <w:gridSpan w:val="2"/>
            <w:tcBorders/>
            <w:vAlign w:val="center"/>
          </w:tcPr>
          <w:p>
            <w:pPr>
              <w:pStyle w:val="TableContents"/>
              <w:bidi w:val="0"/>
              <w:spacing w:before="0" w:after="283"/>
              <w:jc w:val="left"/>
              <w:rPr/>
            </w:pPr>
            <w:r>
              <w:rPr/>
              <w:t>a Delaware Corporation</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By:</w:t>
            </w:r>
          </w:p>
        </w:tc>
        <w:tc>
          <w:tcPr>
            <w:tcW w:w="25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[Duly Authorized Officer]</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65" w:type="dxa"/>
            <w:gridSpan w:val="2"/>
            <w:tcBorders/>
            <w:vAlign w:val="center"/>
          </w:tcPr>
          <w:p>
            <w:pPr>
              <w:pStyle w:val="TableContents"/>
              <w:bidi w:val="0"/>
              <w:spacing w:before="0" w:after="283"/>
              <w:jc w:val="left"/>
              <w:rPr/>
            </w:pPr>
            <w:r>
              <w:rPr/>
              <w:t>EXECUTIVE:</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tcBorders>
              <w:bottom w:val="single" w:sz="12" w:space="0" w:color="000000"/>
            </w:tcBorders>
            <w:tcMar>
              <w:bottom w:w="28" w:type="dxa"/>
            </w:tcMar>
            <w:vAlign w:val="center"/>
          </w:tcPr>
          <w:p>
            <w:pPr>
              <w:pStyle w:val="TableContents"/>
              <w:bidi w:val="0"/>
              <w:spacing w:before="0" w:after="283"/>
              <w:jc w:val="left"/>
              <w:rPr/>
            </w:pPr>
            <w:r>
              <w:rPr/>
              <w:t> </w:t>
            </w:r>
          </w:p>
        </w:tc>
        <w:tc>
          <w:tcPr>
            <w:tcW w:w="25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[Name]</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Executive Agreement and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Agreement and Release (the “Release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and agree completely to the terms set forth in the Amended and Restated Change in Control Severance Agreement between the Company and me dated [_____________]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confirm my obligations under the Company’s standard form of proprietary information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have read and understand Section 1542 of the California Civil Code which reads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expressly waive and relinquish all rights and benefits under that section and any law of any jurisdiction of similar effect with respect to my release of any claims I may have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Release Agreement and in exchange for the benefits set forth in the Agreement,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the termination of my employment with the Company and my rights to compensation from the Company at any time prior to and including the Effective Date of this Release Agreement,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claims pursuant to any federal, state, or local law or cause of action including, but not limited to, the federal Civil Rights Act of 1964, as amended; the federal Age Discrimination in Employment Act of 1967, as amended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the federal American with Disabilities Act of 1990; the California Fair Employment and Housing Act, as amended; tort law; contract law; wrongful discharge; discrimination; fraud; defamation; emotional distress; and breach of the implied covenant of good faith and fair dealing. However, I am not releasing any claims which, by law, cannot be released by me, and I am not releasing the Company from its obligation to indemnify me to the greatest extent permitted by law, or to provide me with continued coverage under the Company’s directors’ and officers’ liability insurance policy to the same extent that it has provided such coverage to previously departed officers and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am knowingly and voluntarily waiving and releasing any rights I may have under ADEA. I also acknowledge that the consideration given for the waiver and release in the preceding paragraph hereof is in addition to anything of value which I was already entitled. I further acknowledge that I have been advised by this writing, as required by the ADEA, that: (a) my waiver and release do not apply to any rights or claims that may arise after the Effective Date of this Release Agreement; (b) I have the right to consult with an attorney prior to executing this Release Agreement; (c) I have twenty-one (21) days (unless, by law, I am required to be given forty-five (45) days) to consider this Release Agreement (although I may choose to voluntarily execute this Release Agreement earlier); (d) I have seven (7) days following the execution of this Release Agreement by the parties to revoke this Release Agreement; and (e) this Release Agreement shall not be effective until the date upon which the revocation period has expired, which shall be the eighth day after this Release Agreement is executed by me.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28" w:type="dxa"/>
          <w:right w:w="0" w:type="dxa"/>
        </w:tblCellMar>
      </w:tblPr>
      <w:tblGrid>
        <w:gridCol w:w="545"/>
        <w:gridCol w:w="60"/>
        <w:gridCol w:w="75"/>
      </w:tblGrid>
      <w:tr>
        <w:trPr/>
        <w:tc>
          <w:tcPr>
            <w:tcW w:w="54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left"/>
              <w:rPr/>
            </w:pPr>
            <w:r>
              <w:rPr/>
              <w:t>Date:</w:t>
            </w:r>
          </w:p>
        </w:tc>
        <w:tc>
          <w:tcPr>
            <w:tcW w:w="6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6219</Words>
  <Characters>33429</Characters>
  <CharactersWithSpaces>39696</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