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lidr20260630_10q.htm"/>
        <w:bookmarkStart w:id="1" w:name="kslidr20260630_10q"/>
        <w:bookmarkEnd w:id="0"/>
        <w:bookmarkEnd w:id="1"/>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18"/>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UNITED STATES</w:t>
      </w:r>
      <w:r>
        <w:rPr>
          <w:rFonts w:ascii="Times New Roman" w:hAnsi="Times New Roman"/>
          <w:caps w:val="false"/>
          <w:smallCaps w:val="false"/>
          <w:sz w:val="18"/>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 AND EXCHANGE COMMISSION</w:t>
      </w:r>
      <w:r>
        <w:rPr>
          <w:rFonts w:ascii="Times New Roman" w:hAnsi="Times New Roman"/>
          <w:caps w:val="false"/>
          <w:smallCaps w:val="false"/>
          <w:sz w:val="18"/>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Washington, D.C. 20549</w:t>
      </w:r>
      <w:r>
        <w:rPr>
          <w:rFonts w:ascii="Times New Roman" w:hAnsi="Times New Roman"/>
          <w:caps w:val="false"/>
          <w:smallCaps w:val="false"/>
          <w:sz w:val="18"/>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60" w:type="dxa"/>
        <w:jc w:val="left"/>
        <w:tblInd w:w="0" w:type="dxa"/>
        <w:tblLayout w:type="fixed"/>
        <w:tblCellMar>
          <w:top w:w="28" w:type="dxa"/>
          <w:left w:w="0" w:type="dxa"/>
          <w:bottom w:w="0" w:type="dxa"/>
          <w:right w:w="0" w:type="dxa"/>
        </w:tblCellMar>
      </w:tblPr>
      <w:tblGrid>
        <w:gridCol w:w="60"/>
      </w:tblGrid>
      <w:tr>
        <w:trPr/>
        <w:tc>
          <w:tcPr>
            <w:tcW w:w="60" w:type="dxa"/>
            <w:tcBorders>
              <w:top w:val="single" w:sz="2" w:space="0" w:color="000000"/>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FORM 10-Q</w:t>
      </w:r>
      <w:r>
        <w:rPr>
          <w:rFonts w:ascii="Times New Roman" w:hAnsi="Times New Roman"/>
          <w:caps w:val="false"/>
          <w:smallCaps w:val="false"/>
          <w:sz w:val="18"/>
        </w:rPr>
        <w:t xml:space="preserve">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30"/>
        <w:gridCol w:w="92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60" w:right="0" w:hanging="0"/>
              <w:jc w:val="left"/>
              <w:rPr>
                <w:rFonts w:ascii="Times New Roman" w:hAnsi="Times New Roman"/>
                <w:b/>
                <w:caps w:val="false"/>
                <w:smallCaps w:val="false"/>
                <w:sz w:val="18"/>
              </w:rPr>
            </w:pPr>
            <w:r>
              <w:rPr>
                <w:rFonts w:ascii="Times New Roman" w:hAnsi="Times New Roman"/>
                <w:b/>
                <w:caps w:val="false"/>
                <w:smallCaps w:val="false"/>
                <w:sz w:val="18"/>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 the quarterly period ended June 30, 2026</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OR</w:t>
      </w:r>
      <w:r>
        <w:rPr>
          <w:rFonts w:ascii="Times New Roman" w:hAnsi="Times New Roman"/>
          <w:caps w:val="false"/>
          <w:smallCaps w:val="false"/>
          <w:sz w:val="18"/>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30"/>
        <w:gridCol w:w="92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90" w:type="dxa"/>
            <w:tcBorders/>
            <w:vAlign w:val="center"/>
          </w:tcPr>
          <w:p>
            <w:pPr>
              <w:pStyle w:val="TableContents"/>
              <w:bidi w:val="0"/>
              <w:spacing w:before="0" w:after="0"/>
              <w:ind w:left="60" w:right="0" w:hanging="0"/>
              <w:jc w:val="left"/>
              <w:rPr>
                <w:rFonts w:ascii="Times New Roman" w:hAnsi="Times New Roman"/>
                <w:b/>
                <w:caps w:val="false"/>
                <w:smallCaps w:val="false"/>
                <w:sz w:val="18"/>
              </w:rPr>
            </w:pPr>
            <w:r>
              <w:rPr>
                <w:rFonts w:ascii="Times New Roman" w:hAnsi="Times New Roman"/>
                <w:b/>
                <w:caps w:val="false"/>
                <w:smallCaps w:val="false"/>
                <w:sz w:val="18"/>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 the transition period from ________ to ________</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Commission file number 001-39699</w:t>
      </w:r>
      <w:r>
        <w:rPr>
          <w:rFonts w:ascii="Times New Roman" w:hAnsi="Times New Roman"/>
          <w:caps w:val="false"/>
          <w:smallCaps w:val="false"/>
          <w:sz w:val="18"/>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30480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485775"/>
                    </a:xfrm>
                    <a:prstGeom prst="rect">
                      <a:avLst/>
                    </a:prstGeom>
                  </pic:spPr>
                </pic:pic>
              </a:graphicData>
            </a:graphic>
          </wp:inline>
        </w:drawing>
      </w:r>
      <w:r>
        <w:rPr/>
        <w:t xml:space="preserve"> </w:t>
      </w:r>
    </w:p>
    <w:p>
      <w:pPr>
        <w:pStyle w:val="TextBody"/>
        <w:bidi w:val="0"/>
        <w:jc w:val="center"/>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AEye, Inc.</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(Exact name of registrant as specified in its charter)</w:t>
      </w:r>
      <w:r>
        <w:rPr>
          <w:rFonts w:ascii="Times New Roman" w:hAnsi="Times New Roman"/>
          <w:caps w:val="false"/>
          <w:smallCaps w:val="false"/>
          <w:sz w:val="18"/>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4220"/>
        <w:gridCol w:w="60"/>
        <w:gridCol w:w="2585"/>
      </w:tblGrid>
      <w:tr>
        <w:trPr/>
        <w:tc>
          <w:tcPr>
            <w:tcW w:w="4220" w:type="dxa"/>
            <w:tcBorders/>
            <w:vAlign w:val="center"/>
          </w:tcPr>
          <w:p>
            <w:pPr>
              <w:pStyle w:val="TableContents"/>
              <w:bidi w:val="0"/>
              <w:spacing w:before="0" w:after="0"/>
              <w:ind w:left="6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60" w:type="dxa"/>
            <w:tcBorders/>
            <w:vAlign w:val="center"/>
          </w:tcPr>
          <w:p>
            <w:pPr>
              <w:pStyle w:val="TableContents"/>
              <w:bidi w:val="0"/>
              <w:spacing w:before="0" w:after="0"/>
              <w:ind w:left="0" w:right="0" w:hanging="0"/>
              <w:jc w:val="left"/>
              <w:rPr/>
            </w:pPr>
            <w:r>
              <w:rPr/>
              <w:t> </w:t>
            </w:r>
          </w:p>
        </w:tc>
        <w:tc>
          <w:tcPr>
            <w:tcW w:w="25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37-1827430</w:t>
            </w:r>
          </w:p>
        </w:tc>
      </w:tr>
      <w:tr>
        <w:trPr/>
        <w:tc>
          <w:tcPr>
            <w:tcW w:w="4220" w:type="dxa"/>
            <w:tcBorders/>
            <w:vAlign w:val="center"/>
          </w:tcPr>
          <w:p>
            <w:pPr>
              <w:pStyle w:val="TableContents"/>
              <w:bidi w:val="0"/>
              <w:spacing w:before="0" w:after="0"/>
              <w:ind w:left="60" w:right="0" w:hanging="0"/>
              <w:jc w:val="center"/>
              <w:rPr>
                <w:rFonts w:ascii="Times New Roman" w:hAnsi="Times New Roman"/>
                <w:caps w:val="false"/>
                <w:smallCaps w:val="false"/>
                <w:sz w:val="18"/>
              </w:rPr>
            </w:pPr>
            <w:r>
              <w:rPr>
                <w:rFonts w:ascii="Times New Roman" w:hAnsi="Times New Roman"/>
                <w:caps w:val="false"/>
                <w:smallCaps w:val="false"/>
                <w:sz w:val="18"/>
              </w:rPr>
              <w:t>(State or other jurisdiction of incorporation or organization)</w:t>
            </w:r>
          </w:p>
        </w:tc>
        <w:tc>
          <w:tcPr>
            <w:tcW w:w="60" w:type="dxa"/>
            <w:tcBorders/>
            <w:vAlign w:val="center"/>
          </w:tcPr>
          <w:p>
            <w:pPr>
              <w:pStyle w:val="TableContents"/>
              <w:bidi w:val="0"/>
              <w:spacing w:before="0" w:after="0"/>
              <w:ind w:left="0" w:right="0" w:hanging="0"/>
              <w:jc w:val="left"/>
              <w:rPr/>
            </w:pPr>
            <w:r>
              <w:rPr/>
              <w:t> </w:t>
            </w:r>
          </w:p>
        </w:tc>
        <w:tc>
          <w:tcPr>
            <w:tcW w:w="2585" w:type="dxa"/>
            <w:tcBorders/>
            <w:vAlign w:val="center"/>
          </w:tcPr>
          <w:p>
            <w:pPr>
              <w:pStyle w:val="TableContents"/>
              <w:bidi w:val="0"/>
              <w:spacing w:before="0" w:after="0"/>
              <w:ind w:left="60" w:right="0" w:hanging="0"/>
              <w:jc w:val="center"/>
              <w:rPr>
                <w:rFonts w:ascii="Times New Roman" w:hAnsi="Times New Roman"/>
                <w:caps w:val="false"/>
                <w:smallCaps w:val="false"/>
                <w:sz w:val="18"/>
              </w:rPr>
            </w:pPr>
            <w:r>
              <w:rPr>
                <w:rFonts w:ascii="Times New Roman" w:hAnsi="Times New Roman"/>
                <w:caps w:val="false"/>
                <w:smallCaps w:val="false"/>
                <w:sz w:val="18"/>
              </w:rPr>
              <w:t>(I.R.S. Employer Identification No.)</w:t>
            </w:r>
          </w:p>
        </w:tc>
      </w:tr>
      <w:tr>
        <w:trPr/>
        <w:tc>
          <w:tcPr>
            <w:tcW w:w="42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585" w:type="dxa"/>
            <w:tcBorders/>
            <w:vAlign w:val="center"/>
          </w:tcPr>
          <w:p>
            <w:pPr>
              <w:pStyle w:val="TableContents"/>
              <w:bidi w:val="0"/>
              <w:spacing w:before="0" w:after="0"/>
              <w:ind w:left="0" w:right="0" w:hanging="0"/>
              <w:jc w:val="left"/>
              <w:rPr/>
            </w:pPr>
            <w:r>
              <w:rPr/>
              <w:t> </w:t>
            </w:r>
          </w:p>
        </w:tc>
      </w:tr>
      <w:tr>
        <w:trPr/>
        <w:tc>
          <w:tcPr>
            <w:tcW w:w="4220" w:type="dxa"/>
            <w:tcBorders/>
            <w:vAlign w:val="center"/>
          </w:tcPr>
          <w:p>
            <w:pPr>
              <w:pStyle w:val="TableContents"/>
              <w:bidi w:val="0"/>
              <w:spacing w:before="0" w:after="0"/>
              <w:ind w:left="60" w:right="0" w:hanging="0"/>
              <w:jc w:val="center"/>
              <w:rPr>
                <w:rFonts w:ascii="Times New Roman" w:hAnsi="Times New Roman"/>
                <w:b/>
                <w:caps w:val="false"/>
                <w:smallCaps w:val="false"/>
                <w:sz w:val="18"/>
              </w:rPr>
            </w:pPr>
            <w:r>
              <w:rPr>
                <w:rFonts w:ascii="Times New Roman" w:hAnsi="Times New Roman"/>
                <w:b/>
                <w:caps w:val="false"/>
                <w:smallCaps w:val="false"/>
                <w:sz w:val="18"/>
              </w:rPr>
              <w:t>4670 Willow Road, Suite 125, Pleasanton, CA</w:t>
            </w:r>
          </w:p>
        </w:tc>
        <w:tc>
          <w:tcPr>
            <w:tcW w:w="60" w:type="dxa"/>
            <w:tcBorders/>
            <w:vAlign w:val="center"/>
          </w:tcPr>
          <w:p>
            <w:pPr>
              <w:pStyle w:val="TableContents"/>
              <w:bidi w:val="0"/>
              <w:spacing w:before="0" w:after="0"/>
              <w:ind w:left="0" w:right="0" w:hanging="0"/>
              <w:jc w:val="left"/>
              <w:rPr/>
            </w:pPr>
            <w:r>
              <w:rPr/>
              <w:t> </w:t>
            </w:r>
          </w:p>
        </w:tc>
        <w:tc>
          <w:tcPr>
            <w:tcW w:w="25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94588</w:t>
            </w:r>
          </w:p>
        </w:tc>
      </w:tr>
      <w:tr>
        <w:trPr/>
        <w:tc>
          <w:tcPr>
            <w:tcW w:w="4220" w:type="dxa"/>
            <w:tcBorders/>
            <w:vAlign w:val="center"/>
          </w:tcPr>
          <w:p>
            <w:pPr>
              <w:pStyle w:val="TableContents"/>
              <w:bidi w:val="0"/>
              <w:spacing w:before="0" w:after="0"/>
              <w:ind w:left="60" w:right="0" w:hanging="0"/>
              <w:jc w:val="center"/>
              <w:rPr>
                <w:rFonts w:ascii="Times New Roman" w:hAnsi="Times New Roman"/>
                <w:caps w:val="false"/>
                <w:smallCaps w:val="false"/>
                <w:sz w:val="18"/>
              </w:rPr>
            </w:pPr>
            <w:r>
              <w:rPr>
                <w:rFonts w:ascii="Times New Roman" w:hAnsi="Times New Roman"/>
                <w:caps w:val="false"/>
                <w:smallCaps w:val="false"/>
                <w:sz w:val="18"/>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2585" w:type="dxa"/>
            <w:tcBorders/>
            <w:vAlign w:val="center"/>
          </w:tcPr>
          <w:p>
            <w:pPr>
              <w:pStyle w:val="TableContents"/>
              <w:bidi w:val="0"/>
              <w:spacing w:before="0" w:after="0"/>
              <w:ind w:left="40" w:right="0" w:hanging="0"/>
              <w:jc w:val="center"/>
              <w:rPr>
                <w:rFonts w:ascii="Times New Roman" w:hAnsi="Times New Roman"/>
                <w:caps w:val="false"/>
                <w:smallCaps w:val="false"/>
                <w:sz w:val="18"/>
              </w:rPr>
            </w:pPr>
            <w:r>
              <w:rPr>
                <w:rFonts w:ascii="Times New Roman" w:hAnsi="Times New Roman"/>
                <w:caps w:val="false"/>
                <w:smallCaps w:val="false"/>
                <w:sz w:val="18"/>
              </w:rPr>
              <w:t>(Zip Code)</w:t>
            </w:r>
          </w:p>
        </w:tc>
      </w:tr>
    </w:tbl>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(925) 400-4366</w:t>
      </w:r>
      <w:r>
        <w:rPr>
          <w:rFonts w:ascii="Times New Roman" w:hAnsi="Times New Roman"/>
          <w:caps w:val="false"/>
          <w:smallCaps w:val="false"/>
          <w:sz w:val="18"/>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Not Applicable</w:t>
      </w:r>
      <w:r>
        <w:rPr>
          <w:rFonts w:ascii="Times New Roman" w:hAnsi="Times New Roman"/>
          <w:caps w:val="false"/>
          <w:smallCaps w:val="false"/>
          <w:sz w:val="18"/>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(Former name, former address and former fiscal year, if changed since last report)</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25" w:type="dxa"/>
        <w:jc w:val="left"/>
        <w:tblInd w:w="0" w:type="dxa"/>
        <w:tblLayout w:type="fixed"/>
        <w:tblCellMar>
          <w:top w:w="28" w:type="dxa"/>
          <w:left w:w="28" w:type="dxa"/>
          <w:bottom w:w="28" w:type="dxa"/>
          <w:right w:w="0" w:type="dxa"/>
        </w:tblCellMar>
      </w:tblPr>
      <w:tblGrid>
        <w:gridCol w:w="3515"/>
        <w:gridCol w:w="1370"/>
        <w:gridCol w:w="3140"/>
      </w:tblGrid>
      <w:tr>
        <w:trPr/>
        <w:tc>
          <w:tcPr>
            <w:tcW w:w="351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Title of each class</w:t>
            </w:r>
          </w:p>
        </w:tc>
        <w:tc>
          <w:tcPr>
            <w:tcW w:w="13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Trading Symbol(s)</w:t>
            </w:r>
          </w:p>
        </w:tc>
        <w:tc>
          <w:tcPr>
            <w:tcW w:w="314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Name of each exchange on which registered</w:t>
            </w:r>
          </w:p>
        </w:tc>
      </w:tr>
      <w:tr>
        <w:trPr/>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$0.0001 par value per share</w:t>
            </w:r>
          </w:p>
        </w:tc>
        <w:tc>
          <w:tcPr>
            <w:tcW w:w="1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LIDR</w:t>
            </w:r>
          </w:p>
        </w:tc>
        <w:tc>
          <w:tcPr>
            <w:tcW w:w="31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tc>
      </w:tr>
      <w:tr>
        <w:trPr/>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Warrants to purchase one share of common stock</w:t>
            </w:r>
          </w:p>
        </w:tc>
        <w:tc>
          <w:tcPr>
            <w:tcW w:w="1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LIDRW</w:t>
            </w:r>
          </w:p>
        </w:tc>
        <w:tc>
          <w:tcPr>
            <w:tcW w:w="31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1580"/>
        <w:gridCol w:w="230"/>
        <w:gridCol w:w="1955"/>
        <w:gridCol w:w="230"/>
      </w:tblGrid>
      <w:tr>
        <w:trPr/>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60" w:right="0" w:hanging="0"/>
              <w:jc w:val="both"/>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Non-accelerated filer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60" w:right="0" w:hanging="0"/>
              <w:jc w:val="both"/>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60" w:right="0" w:hanging="0"/>
              <w:jc w:val="both"/>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As of August 4, 2026, the registrant had 46,488,312 shares of common stock, 0.0001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AEye,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Quarterly Report on Form 10-Q</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289" w:type="dxa"/>
        <w:jc w:val="left"/>
        <w:tblInd w:w="0" w:type="dxa"/>
        <w:tblLayout w:type="fixed"/>
        <w:tblCellMar>
          <w:top w:w="0" w:type="dxa"/>
          <w:left w:w="0" w:type="dxa"/>
          <w:bottom w:w="0" w:type="dxa"/>
          <w:right w:w="0" w:type="dxa"/>
        </w:tblCellMar>
      </w:tblPr>
      <w:tblGrid>
        <w:gridCol w:w="74"/>
        <w:gridCol w:w="7775"/>
        <w:gridCol w:w="440"/>
      </w:tblGrid>
      <w:tr>
        <w:trPr/>
        <w:tc>
          <w:tcPr>
            <w:tcW w:w="74" w:type="dxa"/>
            <w:tcBorders/>
            <w:vAlign w:val="center"/>
          </w:tcPr>
          <w:p>
            <w:pPr>
              <w:pStyle w:val="TableContents"/>
              <w:bidi w:val="0"/>
              <w:spacing w:before="0" w:after="0"/>
              <w:ind w:left="0" w:right="0" w:hanging="0"/>
              <w:jc w:val="left"/>
              <w:rPr/>
            </w:pPr>
            <w:r>
              <w:rPr/>
              <w:t> </w:t>
            </w:r>
          </w:p>
        </w:tc>
        <w:tc>
          <w:tcPr>
            <w:tcW w:w="777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49" w:type="dxa"/>
            <w:gridSpan w:val="2"/>
            <w:tcBorders/>
            <w:vAlign w:val="center"/>
          </w:tcPr>
          <w:p>
            <w:pPr>
              <w:pStyle w:val="TableContents"/>
              <w:bidi w:val="0"/>
              <w:spacing w:before="0" w:after="0"/>
              <w:ind w:left="0" w:right="0" w:hanging="0"/>
              <w:jc w:val="left"/>
              <w:rPr/>
            </w:pPr>
            <w:hyperlink w:anchor="cautionary">
              <w:r>
                <w:rPr>
                  <w:rStyle w:val="InternetLink"/>
                  <w:rFonts w:ascii="Times New Roman" w:hAnsi="Times New Roman"/>
                  <w:caps w:val="false"/>
                  <w:smallCaps w:val="false"/>
                  <w:sz w:val="20"/>
                  <w:u w:val="single"/>
                </w:rPr>
                <w:t>CAUTIONARY NOTE REGARDING FORWARD-LOOKING STATEMENTS</w:t>
              </w:r>
            </w:hyperlink>
          </w:p>
        </w:tc>
        <w:tc>
          <w:tcPr>
            <w:tcW w:w="440" w:type="dxa"/>
            <w:tcBorders/>
            <w:vAlign w:val="center"/>
          </w:tcPr>
          <w:p>
            <w:pPr>
              <w:pStyle w:val="TableContents"/>
              <w:bidi w:val="0"/>
              <w:spacing w:before="0" w:after="0"/>
              <w:ind w:left="0" w:right="0" w:hanging="0"/>
              <w:jc w:val="right"/>
              <w:rPr/>
            </w:pPr>
            <w:hyperlink w:anchor="cautionary">
              <w:r>
                <w:rPr>
                  <w:rStyle w:val="InternetLink"/>
                  <w:rFonts w:ascii="Times New Roman" w:hAnsi="Times New Roman"/>
                  <w:caps w:val="false"/>
                  <w:smallCaps w:val="false"/>
                  <w:sz w:val="20"/>
                </w:rPr>
                <w:t>3</w:t>
              </w:r>
            </w:hyperlink>
          </w:p>
        </w:tc>
      </w:tr>
      <w:tr>
        <w:trPr/>
        <w:tc>
          <w:tcPr>
            <w:tcW w:w="74" w:type="dxa"/>
            <w:tcBorders/>
            <w:vAlign w:val="center"/>
          </w:tcPr>
          <w:p>
            <w:pPr>
              <w:pStyle w:val="TableContents"/>
              <w:bidi w:val="0"/>
              <w:spacing w:before="0" w:after="0"/>
              <w:ind w:left="0" w:right="0" w:hanging="0"/>
              <w:jc w:val="left"/>
              <w:rPr/>
            </w:pPr>
            <w:r>
              <w:rPr/>
              <w:t> </w:t>
            </w:r>
          </w:p>
        </w:tc>
        <w:tc>
          <w:tcPr>
            <w:tcW w:w="777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left"/>
              <w:rPr/>
            </w:pPr>
            <w:r>
              <w:rPr/>
              <w:t> </w:t>
            </w:r>
          </w:p>
        </w:tc>
      </w:tr>
      <w:tr>
        <w:trPr/>
        <w:tc>
          <w:tcPr>
            <w:tcW w:w="8289" w:type="dxa"/>
            <w:gridSpan w:val="3"/>
            <w:tcBorders/>
            <w:shd w:fill="CCEEFF" w:val="clear"/>
            <w:vAlign w:val="center"/>
          </w:tcPr>
          <w:p>
            <w:pPr>
              <w:pStyle w:val="TableContents"/>
              <w:bidi w:val="0"/>
              <w:spacing w:before="0" w:after="0"/>
              <w:ind w:left="0" w:right="0" w:hanging="0"/>
              <w:jc w:val="center"/>
              <w:rPr/>
            </w:pPr>
            <w:hyperlink w:anchor="partone">
              <w:r>
                <w:rPr>
                  <w:rStyle w:val="InternetLink"/>
                  <w:rFonts w:ascii="Times New Roman" w:hAnsi="Times New Roman"/>
                  <w:b/>
                  <w:caps w:val="false"/>
                  <w:smallCaps w:val="false"/>
                  <w:sz w:val="20"/>
                  <w:u w:val="single"/>
                </w:rPr>
                <w:t>PART I - FINANCIAL INFORMATION</w:t>
              </w:r>
            </w:hyperlink>
          </w:p>
        </w:tc>
      </w:tr>
      <w:tr>
        <w:trPr/>
        <w:tc>
          <w:tcPr>
            <w:tcW w:w="7849" w:type="dxa"/>
            <w:gridSpan w:val="2"/>
            <w:tcBorders/>
            <w:shd w:fill="FFFFFF" w:val="clear"/>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u w:val="single"/>
                </w:rPr>
                <w:t>Item 1. Financial Statements (Unaudited)</w:t>
              </w:r>
            </w:hyperlink>
          </w:p>
        </w:tc>
        <w:tc>
          <w:tcPr>
            <w:tcW w:w="440" w:type="dxa"/>
            <w:tcBorders/>
            <w:shd w:fill="FFFFFF" w:val="clear"/>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4</w:t>
              </w:r>
            </w:hyperlink>
          </w:p>
        </w:tc>
      </w:tr>
      <w:tr>
        <w:trPr/>
        <w:tc>
          <w:tcPr>
            <w:tcW w:w="74" w:type="dxa"/>
            <w:tcBorders/>
            <w:shd w:fill="CCEEFF" w:val="clear"/>
            <w:vAlign w:val="center"/>
          </w:tcPr>
          <w:p>
            <w:pPr>
              <w:pStyle w:val="TableContents"/>
              <w:bidi w:val="0"/>
              <w:spacing w:before="0" w:after="0"/>
              <w:ind w:left="0" w:right="0" w:hanging="0"/>
              <w:jc w:val="left"/>
              <w:rPr/>
            </w:pPr>
            <w:r>
              <w:rPr/>
              <w:t> </w:t>
            </w:r>
          </w:p>
        </w:tc>
        <w:tc>
          <w:tcPr>
            <w:tcW w:w="7775" w:type="dxa"/>
            <w:tcBorders/>
            <w:shd w:fill="CCEEFF" w:val="clear"/>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Condensed Consolidated Balance Sheets</w:t>
              </w:r>
            </w:hyperlink>
          </w:p>
        </w:tc>
        <w:tc>
          <w:tcPr>
            <w:tcW w:w="440" w:type="dxa"/>
            <w:tcBorders/>
            <w:shd w:fill="CCEEFF" w:val="clear"/>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4</w:t>
              </w:r>
            </w:hyperlink>
          </w:p>
        </w:tc>
      </w:tr>
      <w:tr>
        <w:trPr/>
        <w:tc>
          <w:tcPr>
            <w:tcW w:w="74" w:type="dxa"/>
            <w:tcBorders/>
            <w:shd w:fill="FFFFFF" w:val="clear"/>
            <w:vAlign w:val="center"/>
          </w:tcPr>
          <w:p>
            <w:pPr>
              <w:pStyle w:val="TableContents"/>
              <w:bidi w:val="0"/>
              <w:spacing w:before="0" w:after="0"/>
              <w:ind w:left="0" w:right="0" w:hanging="0"/>
              <w:jc w:val="left"/>
              <w:rPr/>
            </w:pPr>
            <w:r>
              <w:rPr/>
              <w:t> </w:t>
            </w:r>
          </w:p>
        </w:tc>
        <w:tc>
          <w:tcPr>
            <w:tcW w:w="7775" w:type="dxa"/>
            <w:tcBorders/>
            <w:shd w:fill="FFFFFF" w:val="clear"/>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Condensed Consolidated Statements of Operations and Comprehensive Loss</w:t>
              </w:r>
            </w:hyperlink>
          </w:p>
        </w:tc>
        <w:tc>
          <w:tcPr>
            <w:tcW w:w="440" w:type="dxa"/>
            <w:tcBorders/>
            <w:shd w:fill="FFFFFF" w:val="clear"/>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5</w:t>
              </w:r>
            </w:hyperlink>
          </w:p>
        </w:tc>
      </w:tr>
      <w:tr>
        <w:trPr/>
        <w:tc>
          <w:tcPr>
            <w:tcW w:w="74" w:type="dxa"/>
            <w:tcBorders/>
            <w:shd w:fill="CCEEFF" w:val="clear"/>
            <w:vAlign w:val="center"/>
          </w:tcPr>
          <w:p>
            <w:pPr>
              <w:pStyle w:val="TableContents"/>
              <w:bidi w:val="0"/>
              <w:spacing w:before="0" w:after="0"/>
              <w:ind w:left="0" w:right="0" w:hanging="0"/>
              <w:jc w:val="left"/>
              <w:rPr/>
            </w:pPr>
            <w:r>
              <w:rPr/>
              <w:t> </w:t>
            </w:r>
          </w:p>
        </w:tc>
        <w:tc>
          <w:tcPr>
            <w:tcW w:w="7775" w:type="dxa"/>
            <w:tcBorders/>
            <w:shd w:fill="CCEEFF" w:val="clear"/>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u w:val="single"/>
                </w:rPr>
                <w:t>Condensed Consolidated Statements of Stockholders' Equity</w:t>
              </w:r>
            </w:hyperlink>
          </w:p>
        </w:tc>
        <w:tc>
          <w:tcPr>
            <w:tcW w:w="440" w:type="dxa"/>
            <w:tcBorders/>
            <w:shd w:fill="CCEEFF" w:val="clear"/>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6</w:t>
              </w:r>
            </w:hyperlink>
          </w:p>
        </w:tc>
      </w:tr>
      <w:tr>
        <w:trPr/>
        <w:tc>
          <w:tcPr>
            <w:tcW w:w="74" w:type="dxa"/>
            <w:tcBorders/>
            <w:shd w:fill="FFFFFF" w:val="clear"/>
            <w:vAlign w:val="center"/>
          </w:tcPr>
          <w:p>
            <w:pPr>
              <w:pStyle w:val="TableContents"/>
              <w:bidi w:val="0"/>
              <w:spacing w:before="0" w:after="0"/>
              <w:ind w:left="0" w:right="0" w:hanging="0"/>
              <w:jc w:val="left"/>
              <w:rPr/>
            </w:pPr>
            <w:r>
              <w:rPr/>
              <w:t> </w:t>
            </w:r>
          </w:p>
        </w:tc>
        <w:tc>
          <w:tcPr>
            <w:tcW w:w="7775" w:type="dxa"/>
            <w:tcBorders/>
            <w:shd w:fill="FFFFFF" w:val="clear"/>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shd w:fill="FFFFFF" w:val="clear"/>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8</w:t>
              </w:r>
            </w:hyperlink>
          </w:p>
        </w:tc>
      </w:tr>
      <w:tr>
        <w:trPr/>
        <w:tc>
          <w:tcPr>
            <w:tcW w:w="74" w:type="dxa"/>
            <w:tcBorders/>
            <w:shd w:fill="CCEEFF" w:val="clear"/>
            <w:vAlign w:val="center"/>
          </w:tcPr>
          <w:p>
            <w:pPr>
              <w:pStyle w:val="TableContents"/>
              <w:bidi w:val="0"/>
              <w:spacing w:before="0" w:after="0"/>
              <w:ind w:left="0" w:right="0" w:hanging="0"/>
              <w:jc w:val="left"/>
              <w:rPr/>
            </w:pPr>
            <w:r>
              <w:rPr/>
              <w:t> </w:t>
            </w:r>
          </w:p>
        </w:tc>
        <w:tc>
          <w:tcPr>
            <w:tcW w:w="7775" w:type="dxa"/>
            <w:tcBorders/>
            <w:shd w:fill="CCEEFF" w:val="clear"/>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Condensed Consolidated Financial Statements</w:t>
              </w:r>
            </w:hyperlink>
          </w:p>
        </w:tc>
        <w:tc>
          <w:tcPr>
            <w:tcW w:w="440" w:type="dxa"/>
            <w:tcBorders/>
            <w:shd w:fill="CCEEFF" w:val="clear"/>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7849" w:type="dxa"/>
            <w:gridSpan w:val="2"/>
            <w:tcBorders/>
            <w:shd w:fill="FFFFFF" w:val="clear"/>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Item 2. Management's Discussion and Analysis of Financial Condition and Results of Operations</w:t>
              </w:r>
            </w:hyperlink>
          </w:p>
        </w:tc>
        <w:tc>
          <w:tcPr>
            <w:tcW w:w="440" w:type="dxa"/>
            <w:tcBorders/>
            <w:shd w:fill="FFFFFF" w:val="clear"/>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21</w:t>
              </w:r>
            </w:hyperlink>
          </w:p>
        </w:tc>
      </w:tr>
      <w:tr>
        <w:trPr/>
        <w:tc>
          <w:tcPr>
            <w:tcW w:w="7849" w:type="dxa"/>
            <w:gridSpan w:val="2"/>
            <w:tcBorders/>
            <w:shd w:fill="CCEEFF" w:val="clear"/>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u w:val="single"/>
                </w:rPr>
                <w:t>Item 3. Quantitative and Qualitative Disclosures About Market Risk</w:t>
              </w:r>
            </w:hyperlink>
          </w:p>
        </w:tc>
        <w:tc>
          <w:tcPr>
            <w:tcW w:w="440" w:type="dxa"/>
            <w:tcBorders/>
            <w:shd w:fill="CCEEFF" w:val="clear"/>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33</w:t>
              </w:r>
            </w:hyperlink>
          </w:p>
        </w:tc>
      </w:tr>
      <w:tr>
        <w:trPr/>
        <w:tc>
          <w:tcPr>
            <w:tcW w:w="7849" w:type="dxa"/>
            <w:gridSpan w:val="2"/>
            <w:tcBorders/>
            <w:shd w:fill="FFFFFF" w:val="clear"/>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Item 4. Controls and Procedures</w:t>
              </w:r>
            </w:hyperlink>
          </w:p>
        </w:tc>
        <w:tc>
          <w:tcPr>
            <w:tcW w:w="440" w:type="dxa"/>
            <w:tcBorders/>
            <w:shd w:fill="FFFFFF" w:val="clear"/>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34</w:t>
              </w:r>
            </w:hyperlink>
          </w:p>
        </w:tc>
      </w:tr>
      <w:tr>
        <w:trPr/>
        <w:tc>
          <w:tcPr>
            <w:tcW w:w="8289" w:type="dxa"/>
            <w:gridSpan w:val="3"/>
            <w:tcBorders/>
            <w:shd w:fill="CCEEFF" w:val="clear"/>
            <w:vAlign w:val="center"/>
          </w:tcPr>
          <w:p>
            <w:pPr>
              <w:pStyle w:val="TableContents"/>
              <w:bidi w:val="0"/>
              <w:spacing w:before="0" w:after="0"/>
              <w:ind w:left="0" w:right="0" w:hanging="0"/>
              <w:jc w:val="center"/>
              <w:rPr/>
            </w:pPr>
            <w:hyperlink w:anchor="parttwo">
              <w:r>
                <w:rPr>
                  <w:rStyle w:val="InternetLink"/>
                  <w:rFonts w:ascii="Times New Roman" w:hAnsi="Times New Roman"/>
                  <w:b/>
                  <w:caps w:val="false"/>
                  <w:smallCaps w:val="false"/>
                  <w:sz w:val="20"/>
                  <w:u w:val="single"/>
                </w:rPr>
                <w:t>PART II - OTHER INFORMATION</w:t>
              </w:r>
            </w:hyperlink>
          </w:p>
        </w:tc>
      </w:tr>
      <w:tr>
        <w:trPr/>
        <w:tc>
          <w:tcPr>
            <w:tcW w:w="7849" w:type="dxa"/>
            <w:gridSpan w:val="2"/>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Item 1. Legal Proceedings</w:t>
              </w:r>
            </w:hyperlink>
          </w:p>
        </w:tc>
        <w:tc>
          <w:tcPr>
            <w:tcW w:w="440" w:type="dxa"/>
            <w:tcBorders/>
            <w:shd w:fill="FFFFFF" w:val="clear"/>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35</w:t>
              </w:r>
            </w:hyperlink>
          </w:p>
        </w:tc>
      </w:tr>
      <w:tr>
        <w:trPr/>
        <w:tc>
          <w:tcPr>
            <w:tcW w:w="7849" w:type="dxa"/>
            <w:gridSpan w:val="2"/>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Item 1A. Risk Factors</w:t>
              </w:r>
            </w:hyperlink>
          </w:p>
        </w:tc>
        <w:tc>
          <w:tcPr>
            <w:tcW w:w="440" w:type="dxa"/>
            <w:tcBorders/>
            <w:shd w:fill="CCEEFF" w:val="clear"/>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35</w:t>
              </w:r>
            </w:hyperlink>
          </w:p>
        </w:tc>
      </w:tr>
      <w:tr>
        <w:trPr/>
        <w:tc>
          <w:tcPr>
            <w:tcW w:w="7849" w:type="dxa"/>
            <w:gridSpan w:val="2"/>
            <w:tcBorders/>
            <w:shd w:fill="FFFFFF" w:val="clear"/>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Item 2. Unregistered Sales of Equity Securities and Use of Proceeds</w:t>
              </w:r>
            </w:hyperlink>
          </w:p>
        </w:tc>
        <w:tc>
          <w:tcPr>
            <w:tcW w:w="440" w:type="dxa"/>
            <w:tcBorders/>
            <w:shd w:fill="FFFFFF" w:val="clear"/>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73</w:t>
              </w:r>
            </w:hyperlink>
          </w:p>
        </w:tc>
      </w:tr>
      <w:tr>
        <w:trPr/>
        <w:tc>
          <w:tcPr>
            <w:tcW w:w="7849" w:type="dxa"/>
            <w:gridSpan w:val="2"/>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Item 3. Defaults Upon Senior Securities</w:t>
              </w:r>
            </w:hyperlink>
          </w:p>
        </w:tc>
        <w:tc>
          <w:tcPr>
            <w:tcW w:w="440" w:type="dxa"/>
            <w:tcBorders/>
            <w:shd w:fill="CCEEFF" w:val="clear"/>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73</w:t>
              </w:r>
            </w:hyperlink>
          </w:p>
        </w:tc>
      </w:tr>
      <w:tr>
        <w:trPr/>
        <w:tc>
          <w:tcPr>
            <w:tcW w:w="7849" w:type="dxa"/>
            <w:gridSpan w:val="2"/>
            <w:tcBorders/>
            <w:shd w:fill="FFFFFF" w:val="clear"/>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Item 4. Mine Safety Disclosures</w:t>
              </w:r>
            </w:hyperlink>
          </w:p>
        </w:tc>
        <w:tc>
          <w:tcPr>
            <w:tcW w:w="440" w:type="dxa"/>
            <w:tcBorders/>
            <w:shd w:fill="FFFFFF" w:val="clear"/>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73</w:t>
              </w:r>
            </w:hyperlink>
          </w:p>
        </w:tc>
      </w:tr>
      <w:tr>
        <w:trPr/>
        <w:tc>
          <w:tcPr>
            <w:tcW w:w="7849" w:type="dxa"/>
            <w:gridSpan w:val="2"/>
            <w:tcBorders/>
            <w:shd w:fill="CCEEFF" w:val="clear"/>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Item 5. Other Information</w:t>
              </w:r>
            </w:hyperlink>
          </w:p>
        </w:tc>
        <w:tc>
          <w:tcPr>
            <w:tcW w:w="440" w:type="dxa"/>
            <w:tcBorders/>
            <w:shd w:fill="CCEEFF" w:val="clear"/>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73</w:t>
              </w:r>
            </w:hyperlink>
          </w:p>
        </w:tc>
      </w:tr>
      <w:tr>
        <w:trPr/>
        <w:tc>
          <w:tcPr>
            <w:tcW w:w="7849" w:type="dxa"/>
            <w:gridSpan w:val="2"/>
            <w:tcBorders/>
            <w:shd w:fill="FFFF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Item 6. Exhibits</w:t>
              </w:r>
            </w:hyperlink>
          </w:p>
        </w:tc>
        <w:tc>
          <w:tcPr>
            <w:tcW w:w="440" w:type="dxa"/>
            <w:tcBorders/>
            <w:shd w:fill="FFFFFF" w:val="clear"/>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74</w:t>
              </w:r>
            </w:hyperlink>
          </w:p>
        </w:tc>
      </w:tr>
      <w:tr>
        <w:trPr/>
        <w:tc>
          <w:tcPr>
            <w:tcW w:w="7849" w:type="dxa"/>
            <w:gridSpan w:val="2"/>
            <w:tcBorders/>
            <w:shd w:fill="CCEEFF" w:val="clear"/>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u w:val="single"/>
                </w:rPr>
                <w:t>Signatures</w:t>
              </w:r>
            </w:hyperlink>
          </w:p>
        </w:tc>
        <w:tc>
          <w:tcPr>
            <w:tcW w:w="440" w:type="dxa"/>
            <w:tcBorders/>
            <w:shd w:fill="CCEEFF" w:val="clear"/>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76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 w:name="cautionary"/>
      <w:bookmarkEnd w:id="3"/>
      <w:r>
        <w:rPr>
          <w:rFonts w:ascii="Times New Roman" w:hAnsi="Times New Roman"/>
          <w:b/>
          <w:caps w:val="false"/>
          <w:smallCaps w:val="false"/>
          <w:sz w:val="20"/>
        </w:rPr>
        <w:t>CAUTIONARY NOTE REGARDING 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“Form 10-Q”) contains forward-looking statements within the meaning of Section 27A of the Securities Act of 1933 and Section 21E of the Securities Exchange Act of 1934, which involve substantial risks and uncertainties. These statements reflect the current views of management with respect to future events and our financial performance. In some cases, you can identify these statements by forward-looking words such as “outlook,” “believes,” “expects,” “potential,” “continues,” “may,” “will,” “should,” “could,” “seeks,” “approximately,” “predicts,” “intends,” “plans,” “estimates,” “anticipates,” or the negative version of these words or other comparable words or phrases,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statements are only predictions based on our current expectations and projections about future events. These statements involve known and unknown risks, uncertainties, and other important factors that could cause our actual results, level of activity, performance, or achievements to differ materially from the results, level of activity, performance, or achievements expressed or implied by the forward-looking statements. Given these risks, uncertainties, and other factors, you should not place undue reliance on these forward-looking statements. These factors include the information set forth in Part 1, Item 1A, of our Annual Report on Form 10-K for the fiscal year ended December 31, 2025 under the heading “Risk Factors,” and Part II, Item 1A, of this Quarterly Report under the heading “Risk Factors,” which we encourage you to carefully read. Although we believe the expectations reflected in the forward-looking statements are reasonable, we cannot guarantee future results, level of activity, performance, or achievements. We undertake no obligation to update any forward-looking statements made in this Form 10-Q to reflect events or circumstances after the date of this Form 10-Q or to reflect new information or the occurrence of unanticipated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4" w:name="partone"/>
      <w:bookmarkEnd w:id="4"/>
      <w:r>
        <w:rPr>
          <w:rFonts w:ascii="Times New Roman" w:hAnsi="Times New Roman"/>
          <w:b/>
          <w:caps w:val="false"/>
          <w:smallCaps w:val="false"/>
          <w:sz w:val="20"/>
        </w:rPr>
        <w:t>PART 1. 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bookmarkStart w:id="5" w:name="finstmts"/>
      <w:bookmarkEnd w:id="5"/>
      <w:r>
        <w:rPr>
          <w:rFonts w:ascii="Times New Roman" w:hAnsi="Times New Roman"/>
          <w:b/>
          <w:caps w:val="false"/>
          <w:smallCaps w:val="false"/>
          <w:sz w:val="20"/>
        </w:rPr>
        <w:t>Item 1. Financial statements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6" w:name="bs"/>
      <w:bookmarkEnd w:id="6"/>
      <w:r>
        <w:rPr>
          <w:rFonts w:ascii="Times New Roman" w:hAnsi="Times New Roman"/>
          <w:b/>
          <w:caps w:val="false"/>
          <w:smallCaps w:val="false"/>
          <w:sz w:val="20"/>
        </w:rPr>
        <w:t>AEYE, INC.</w:t>
      </w:r>
      <w:r>
        <w:rPr>
          <w:rFonts w:ascii="Times New Roman" w:hAnsi="Times New Roman"/>
          <w:caps w:val="false"/>
          <w:smallCaps w:val="false"/>
          <w:sz w:val="20"/>
        </w:rPr>
        <w:t xml:space="preserve"> </w:t>
      </w:r>
      <w:r>
        <w:rPr>
          <w:rFonts w:ascii="Times New Roman" w:hAnsi="Times New Roman"/>
          <w:b/>
          <w:caps w:val="false"/>
          <w:smallCaps w:val="false"/>
          <w:sz w:val="20"/>
        </w:rPr>
        <w:t>CONDENSED CONSOLIDATED BALANCE SHEETS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amounts and par value data)</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4"/>
        <w:gridCol w:w="60"/>
        <w:gridCol w:w="128"/>
        <w:gridCol w:w="994"/>
        <w:gridCol w:w="80"/>
        <w:gridCol w:w="60"/>
        <w:gridCol w:w="175"/>
        <w:gridCol w:w="1061"/>
        <w:gridCol w:w="83"/>
      </w:tblGrid>
      <w:tr>
        <w:trPr/>
        <w:tc>
          <w:tcPr>
            <w:tcW w:w="756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righ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43,356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60,293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74,323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89,633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76,576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90,893</w:t>
            </w:r>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8,572</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noncurrent</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Convertible note, noncurrent</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9,551</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16)</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stock—$0.0001 par value: 1,000,000 shares authorized; no shares issued and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stock—$0.0001 par value: 600,000,000 shares authorized; 46,488,312 and 45,169,913 shares issued and outstanding at June 30, 2026 and December 31, 2025</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493,827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488,361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(425,420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(407,053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68,314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81,342</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90,893</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bookmarkStart w:id="7" w:name="income"/>
      <w:bookmarkEnd w:id="7"/>
      <w:r>
        <w:rPr>
          <w:rFonts w:ascii="Times New Roman" w:hAnsi="Times New Roman"/>
          <w:b/>
          <w:sz w:val="20"/>
        </w:rPr>
        <w:t>AEYE, INC.</w:t>
      </w:r>
      <w:r>
        <w:rPr>
          <w:rFonts w:ascii="Times New Roman" w:hAnsi="Times New Roman"/>
          <w:sz w:val="20"/>
        </w:rPr>
        <w:t> </w:t>
        <w:br/>
      </w:r>
      <w:r>
        <w:rPr>
          <w:rFonts w:ascii="Times New Roman" w:hAnsi="Times New Roman"/>
          <w:b/>
          <w:sz w:val="20"/>
        </w:rPr>
        <w:t>CONDENSED CONSOLIDATED STATEMENTS OF OPERATIONS AND COMPREHENSIVE LOSS</w:t>
      </w:r>
      <w:r>
        <w:rPr>
          <w:rFonts w:ascii="Times New Roman" w:hAnsi="Times New Roman"/>
          <w:sz w:val="20"/>
        </w:rPr>
        <w:t> </w:t>
        <w:br/>
      </w:r>
      <w:r>
        <w:rPr>
          <w:rFonts w:ascii="Times New Roman" w:hAnsi="Times New Roman"/>
          <w:b/>
          <w:sz w:val="20"/>
        </w:rPr>
        <w:t>(In thousands, except share amounts and per share data)</w:t>
      </w:r>
      <w:r>
        <w:rPr>
          <w:rFonts w:ascii="Times New Roman" w:hAnsi="Times New Roman"/>
          <w:sz w:val="20"/>
        </w:rPr>
        <w:t> </w:t>
        <w:br/>
      </w:r>
      <w:r>
        <w:rPr>
          <w:rFonts w:ascii="Times New Roman" w:hAnsi="Times New Roman"/>
          <w:b/>
          <w:sz w:val="20"/>
        </w:rPr>
        <w:t>(Unaudited)</w:t>
      </w:r>
      <w:r>
        <w:rPr>
          <w:rFonts w:ascii="Times New Roman" w:hAnsi="Times New Roman"/>
          <w:sz w:val="20"/>
        </w:rPr>
        <w:t xml:space="preserve">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5315"/>
        <w:gridCol w:w="23"/>
        <w:gridCol w:w="134"/>
        <w:gridCol w:w="1025"/>
        <w:gridCol w:w="86"/>
        <w:gridCol w:w="24"/>
        <w:gridCol w:w="134"/>
        <w:gridCol w:w="1025"/>
        <w:gridCol w:w="80"/>
        <w:gridCol w:w="23"/>
        <w:gridCol w:w="125"/>
        <w:gridCol w:w="950"/>
        <w:gridCol w:w="80"/>
        <w:gridCol w:w="23"/>
        <w:gridCol w:w="125"/>
        <w:gridCol w:w="950"/>
        <w:gridCol w:w="83"/>
      </w:tblGrid>
      <w:tr>
        <w:trPr/>
        <w:tc>
          <w:tcPr>
            <w:tcW w:w="53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4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3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w:t>
            </w:r>
          </w:p>
        </w:tc>
        <w:tc>
          <w:tcPr>
            <w:tcW w:w="8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3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loss</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left"/>
              <w:rPr/>
            </w:pPr>
            <w:r>
              <w:rPr/>
              <w:t>​</w:t>
            </w:r>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4,743</w:t>
            </w:r>
          </w:p>
        </w:tc>
        <w:tc>
          <w:tcPr>
            <w:tcW w:w="8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8,508</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7,160</w:t>
            </w:r>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3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1,147</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984</w:t>
            </w:r>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4,704</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8,882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7,243</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53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10,594</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19,523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15,387</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(10,755</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(19,784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(15,505</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left"/>
              <w:rPr/>
            </w:pPr>
            <w:r>
              <w:rPr/>
              <w:t>​</w:t>
            </w:r>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convertible note and warrant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w:t>
            </w:r>
          </w:p>
        </w:tc>
        <w:tc>
          <w:tcPr>
            <w:tcW w:w="8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3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and other</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w:t>
            </w:r>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and other</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(2,473</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(1,779</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(10,022</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(18,365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(17,284</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(10,022</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(18,367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(17,286</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net unrealized gain (loss) on available-for-sale securities, net of tax</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(10,079</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(18,495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(17,291</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102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left"/>
              <w:rPr/>
            </w:pPr>
            <w:r>
              <w:rPr/>
              <w:t>​</w:t>
            </w:r>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3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PER SHARE DATA</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102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3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 per common share (basic and diluted)</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(0.22</w:t>
            </w:r>
          </w:p>
        </w:tc>
        <w:tc>
          <w:tcPr>
            <w:tcW w:w="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(0.95</w:t>
            </w:r>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 average common shares outstanding (basic and diluted)</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45,915,091</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19,125,970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45,414,113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18,137,050</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se"/>
      <w:bookmarkEnd w:id="8"/>
      <w:r>
        <w:rPr>
          <w:rFonts w:ascii="Times New Roman" w:hAnsi="Times New Roman"/>
          <w:b/>
          <w:caps w:val="false"/>
          <w:smallCaps w:val="false"/>
          <w:sz w:val="20"/>
        </w:rPr>
        <w:t>AEYE,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six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amounts)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3"/>
        <w:gridCol w:w="60"/>
        <w:gridCol w:w="100"/>
        <w:gridCol w:w="385"/>
        <w:gridCol w:w="70"/>
        <w:gridCol w:w="70"/>
        <w:gridCol w:w="170"/>
        <w:gridCol w:w="405"/>
        <w:gridCol w:w="60"/>
        <w:gridCol w:w="60"/>
        <w:gridCol w:w="60"/>
        <w:gridCol w:w="830"/>
        <w:gridCol w:w="80"/>
        <w:gridCol w:w="60"/>
        <w:gridCol w:w="170"/>
        <w:gridCol w:w="405"/>
        <w:gridCol w:w="60"/>
        <w:gridCol w:w="60"/>
        <w:gridCol w:w="116"/>
        <w:gridCol w:w="639"/>
        <w:gridCol w:w="80"/>
        <w:gridCol w:w="60"/>
        <w:gridCol w:w="405"/>
        <w:gridCol w:w="803"/>
        <w:gridCol w:w="80"/>
        <w:gridCol w:w="60"/>
        <w:gridCol w:w="132"/>
        <w:gridCol w:w="803"/>
        <w:gridCol w:w="80"/>
        <w:gridCol w:w="60"/>
        <w:gridCol w:w="150"/>
        <w:gridCol w:w="794"/>
        <w:gridCol w:w="85"/>
      </w:tblGrid>
      <w:tr>
        <w:trPr/>
        <w:tc>
          <w:tcPr>
            <w:tcW w:w="275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left"/>
              <w:rPr/>
            </w:pPr>
            <w:r>
              <w:rPr>
                <w:rStyle w:val="Emphasis"/>
              </w:rPr>
              <w:t> </w:t>
            </w:r>
          </w:p>
        </w:tc>
        <w:tc>
          <w:tcPr>
            <w:tcW w:w="70" w:type="dxa"/>
            <w:tcBorders/>
            <w:shd w:fill="FFFFFF" w:val="clear"/>
            <w:vAlign w:val="center"/>
          </w:tcPr>
          <w:p>
            <w:pPr>
              <w:pStyle w:val="TableContents"/>
              <w:bidi w:val="0"/>
              <w:spacing w:before="0" w:after="0"/>
              <w:ind w:left="0" w:right="0" w:hanging="0"/>
              <w:jc w:val="left"/>
              <w:rPr/>
            </w:pPr>
            <w:r>
              <w:rPr/>
              <w:t>​</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Additional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 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Preferred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Paid-in</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Stockholders’</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Equity</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16"/>
              </w:rPr>
            </w:pPr>
            <w:r>
              <w:rPr>
                <w:rFonts w:ascii="Times New Roman" w:hAnsi="Times New Roman"/>
                <w:b/>
                <w:caps w:val="false"/>
                <w:smallCaps w:val="false"/>
                <w:sz w:val="16"/>
              </w:rPr>
              <w:t>BALANCE—December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rStyle w:val="Emphasis"/>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45,169,913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488,361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(407,053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4"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81,342</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1,542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1,542</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upon vesting of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rStyle w:val="Emphasis"/>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327,896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rStyle w:val="Emphasis"/>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Taxes related to net share settlement of equity awards</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(151,890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(252</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Other comprehensive loss,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rStyle w:val="Emphasis"/>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(8,345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(8,345</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16"/>
              </w:rPr>
            </w:pPr>
            <w:r>
              <w:rPr>
                <w:rFonts w:ascii="Times New Roman" w:hAnsi="Times New Roman"/>
                <w:b/>
                <w:caps w:val="false"/>
                <w:smallCaps w:val="false"/>
                <w:sz w:val="16"/>
              </w:rPr>
              <w:t>BALANCE—March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45,345,919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489,651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(415,398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74,216</w:t>
            </w:r>
          </w:p>
        </w:tc>
        <w:tc>
          <w:tcPr>
            <w:tcW w:w="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2,419</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upon vesting of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rStyle w:val="Emphasis"/>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315,141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rStyle w:val="Emphasis"/>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Taxes related to net share settlement of equity awards</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(141,649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(267</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under the Common Stock Purchase Agreement</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rStyle w:val="Emphasis"/>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849,757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1,977</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Transaction costs related to the Common Stock Purchase Agreement</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through Employee Stock Purchase Plan</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pPr>
            <w:r>
              <w:rPr>
                <w:rStyle w:val="Emphasis"/>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119,144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109</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Other comprehensive loss,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(57</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75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(10,022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(10,022</w:t>
            </w:r>
          </w:p>
        </w:tc>
        <w:tc>
          <w:tcPr>
            <w:tcW w:w="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753"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16"/>
              </w:rPr>
            </w:pPr>
            <w:r>
              <w:rPr>
                <w:rFonts w:ascii="Times New Roman" w:hAnsi="Times New Roman"/>
                <w:b/>
                <w:caps w:val="false"/>
                <w:smallCaps w:val="false"/>
                <w:sz w:val="16"/>
              </w:rPr>
              <w:t>BALANCE—June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46,488,312</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493,827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(425,420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68,314</w:t>
            </w:r>
          </w:p>
        </w:tc>
        <w:tc>
          <w:tcPr>
            <w:tcW w:w="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44"/>
        <w:gridCol w:w="23"/>
        <w:gridCol w:w="43"/>
        <w:gridCol w:w="457"/>
        <w:gridCol w:w="30"/>
        <w:gridCol w:w="30"/>
        <w:gridCol w:w="192"/>
        <w:gridCol w:w="435"/>
        <w:gridCol w:w="23"/>
        <w:gridCol w:w="23"/>
        <w:gridCol w:w="23"/>
        <w:gridCol w:w="830"/>
        <w:gridCol w:w="80"/>
        <w:gridCol w:w="23"/>
        <w:gridCol w:w="179"/>
        <w:gridCol w:w="426"/>
        <w:gridCol w:w="23"/>
        <w:gridCol w:w="23"/>
        <w:gridCol w:w="120"/>
        <w:gridCol w:w="665"/>
        <w:gridCol w:w="80"/>
        <w:gridCol w:w="23"/>
        <w:gridCol w:w="428"/>
        <w:gridCol w:w="850"/>
        <w:gridCol w:w="80"/>
        <w:gridCol w:w="23"/>
        <w:gridCol w:w="136"/>
        <w:gridCol w:w="829"/>
        <w:gridCol w:w="80"/>
        <w:gridCol w:w="23"/>
        <w:gridCol w:w="171"/>
        <w:gridCol w:w="806"/>
        <w:gridCol w:w="84"/>
      </w:tblGrid>
      <w:tr>
        <w:trPr/>
        <w:tc>
          <w:tcPr>
            <w:tcW w:w="2944" w:type="dxa"/>
            <w:tcBorders/>
            <w:vAlign w:val="center"/>
          </w:tcPr>
          <w:p>
            <w:pPr>
              <w:pStyle w:val="TableContents"/>
              <w:bidi w:val="0"/>
              <w:spacing w:before="0" w:after="0"/>
              <w:ind w:left="180" w:right="0" w:hanging="180"/>
              <w:jc w:val="left"/>
              <w:rPr/>
            </w:pPr>
            <w:r>
              <w:rPr/>
              <w:t>​</w:t>
            </w:r>
          </w:p>
        </w:tc>
        <w:tc>
          <w:tcPr>
            <w:tcW w:w="23" w:type="dxa"/>
            <w:tcBorders/>
            <w:vAlign w:val="center"/>
          </w:tcPr>
          <w:p>
            <w:pPr>
              <w:pStyle w:val="TableContents"/>
              <w:bidi w:val="0"/>
              <w:spacing w:before="0" w:after="0"/>
              <w:ind w:left="0" w:right="0" w:hanging="0"/>
              <w:jc w:val="left"/>
              <w:rPr/>
            </w:pPr>
            <w:r>
              <w:rPr/>
              <w:t>​</w:t>
            </w:r>
          </w:p>
        </w:tc>
        <w:tc>
          <w:tcPr>
            <w:tcW w:w="43"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center"/>
              <w:rPr/>
            </w:pPr>
            <w:r>
              <w:rPr/>
              <w:t>​</w:t>
            </w:r>
          </w:p>
        </w:tc>
        <w:tc>
          <w:tcPr>
            <w:tcW w:w="30" w:type="dxa"/>
            <w:tcBorders/>
            <w:vAlign w:val="center"/>
          </w:tcPr>
          <w:p>
            <w:pPr>
              <w:pStyle w:val="TableContents"/>
              <w:bidi w:val="0"/>
              <w:spacing w:before="0" w:after="0"/>
              <w:ind w:left="0" w:right="0" w:hanging="0"/>
              <w:jc w:val="left"/>
              <w:rPr/>
            </w:pPr>
            <w:r>
              <w:rPr/>
              <w:t>​</w:t>
            </w:r>
          </w:p>
        </w:tc>
        <w:tc>
          <w:tcPr>
            <w:tcW w:w="30"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Additional</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Accumulated Other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Total</w:t>
            </w:r>
          </w:p>
        </w:tc>
        <w:tc>
          <w:tcPr>
            <w:tcW w:w="84" w:type="dxa"/>
            <w:tcBorders/>
            <w:vAlign w:val="center"/>
          </w:tcPr>
          <w:p>
            <w:pPr>
              <w:pStyle w:val="TableContents"/>
              <w:bidi w:val="0"/>
              <w:spacing w:before="0" w:after="0"/>
              <w:ind w:left="0" w:right="0" w:hanging="0"/>
              <w:jc w:val="left"/>
              <w:rPr/>
            </w:pPr>
            <w:r>
              <w:rPr/>
              <w:t>​</w:t>
            </w:r>
          </w:p>
        </w:tc>
      </w:tr>
      <w:tr>
        <w:trPr/>
        <w:tc>
          <w:tcPr>
            <w:tcW w:w="2944" w:type="dxa"/>
            <w:tcBorders/>
            <w:vAlign w:val="center"/>
          </w:tcPr>
          <w:p>
            <w:pPr>
              <w:pStyle w:val="TableContents"/>
              <w:bidi w:val="0"/>
              <w:spacing w:before="0" w:after="0"/>
              <w:ind w:left="180" w:right="0" w:hanging="18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Preferred Stock</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6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Common Stock</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8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Paid-in</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Comprehensive</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6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Stockholders’</w:t>
            </w:r>
          </w:p>
        </w:tc>
        <w:tc>
          <w:tcPr>
            <w:tcW w:w="84" w:type="dxa"/>
            <w:tcBorders/>
            <w:vAlign w:val="center"/>
          </w:tcPr>
          <w:p>
            <w:pPr>
              <w:pStyle w:val="TableContents"/>
              <w:bidi w:val="0"/>
              <w:spacing w:before="0" w:after="0"/>
              <w:ind w:left="0" w:right="0" w:hanging="0"/>
              <w:jc w:val="left"/>
              <w:rPr/>
            </w:pPr>
            <w:r>
              <w:rPr/>
              <w:t>​</w:t>
            </w:r>
          </w:p>
        </w:tc>
      </w:tr>
      <w:tr>
        <w:trPr/>
        <w:tc>
          <w:tcPr>
            <w:tcW w:w="2944" w:type="dxa"/>
            <w:tcBorders/>
            <w:vAlign w:val="center"/>
          </w:tcPr>
          <w:p>
            <w:pPr>
              <w:pStyle w:val="TableContents"/>
              <w:bidi w:val="0"/>
              <w:spacing w:before="0" w:after="0"/>
              <w:ind w:left="180" w:right="0" w:hanging="180"/>
              <w:jc w:val="left"/>
              <w:rPr/>
            </w:pPr>
            <w:r>
              <w:rPr/>
              <w:t>​</w:t>
            </w:r>
          </w:p>
        </w:tc>
        <w:tc>
          <w:tcPr>
            <w:tcW w:w="23" w:type="dxa"/>
            <w:tcBorders/>
            <w:vAlign w:val="center"/>
          </w:tcPr>
          <w:p>
            <w:pPr>
              <w:pStyle w:val="TableContents"/>
              <w:bidi w:val="0"/>
              <w:spacing w:before="0" w:after="0"/>
              <w:ind w:left="0" w:right="0" w:hanging="0"/>
              <w:jc w:val="left"/>
              <w:rPr/>
            </w:pPr>
            <w:r>
              <w:rPr/>
              <w:t>​</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Shares</w:t>
            </w:r>
          </w:p>
        </w:tc>
        <w:tc>
          <w:tcPr>
            <w:tcW w:w="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 w:type="dxa"/>
            <w:tcBorders/>
            <w:vAlign w:val="center"/>
          </w:tcPr>
          <w:p>
            <w:pPr>
              <w:pStyle w:val="TableContents"/>
              <w:bidi w:val="0"/>
              <w:spacing w:before="0" w:after="0"/>
              <w:ind w:left="0" w:right="0" w:hanging="0"/>
              <w:jc w:val="left"/>
              <w:rPr/>
            </w:pPr>
            <w:r>
              <w:rPr/>
              <w:t>​</w:t>
            </w:r>
          </w:p>
        </w:tc>
        <w:tc>
          <w:tcPr>
            <w:tcW w:w="6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Amount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Shares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Amount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Capital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Income (Loss)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Equity</w:t>
            </w:r>
          </w:p>
        </w:tc>
        <w:tc>
          <w:tcPr>
            <w:tcW w:w="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16"/>
              </w:rPr>
            </w:pPr>
            <w:r>
              <w:rPr>
                <w:rFonts w:ascii="Times New Roman" w:hAnsi="Times New Roman"/>
                <w:b/>
                <w:caps w:val="false"/>
                <w:smallCaps w:val="false"/>
                <w:sz w:val="16"/>
              </w:rPr>
              <w:t>BALANCE—December 31, 2024</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13,734,160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2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388,213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2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(373,095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15,124</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457" w:type="dxa"/>
            <w:tcBorders/>
            <w:shd w:fill="FFFFFF" w:val="clear"/>
            <w:vAlign w:val="center"/>
          </w:tcPr>
          <w:p>
            <w:pPr>
              <w:pStyle w:val="TableContents"/>
              <w:bidi w:val="0"/>
              <w:spacing w:before="0" w:after="0"/>
              <w:ind w:left="0" w:right="0" w:hanging="0"/>
              <w:jc w:val="right"/>
              <w:rPr/>
            </w:pPr>
            <w:r>
              <w:rPr>
                <w:rStyle w:val="Emphasis"/>
              </w:rPr>
              <w:t>—</w:t>
            </w:r>
          </w:p>
        </w:tc>
        <w:tc>
          <w:tcPr>
            <w:tcW w:w="30"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shd w:fill="FFFFFF" w:val="clear"/>
            <w:vAlign w:val="center"/>
          </w:tcPr>
          <w:p>
            <w:pPr>
              <w:pStyle w:val="TableContents"/>
              <w:bidi w:val="0"/>
              <w:spacing w:before="0" w:after="0"/>
              <w:ind w:left="0" w:right="0" w:hanging="0"/>
              <w:jc w:val="left"/>
              <w:rPr/>
            </w:pPr>
            <w:r>
              <w:rPr/>
              <w:t>​</w:t>
            </w:r>
          </w:p>
        </w:tc>
        <w:tc>
          <w:tcPr>
            <w:tcW w:w="4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4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2,501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shd w:fill="FFFFFF" w:val="clear"/>
            <w:vAlign w:val="center"/>
          </w:tcPr>
          <w:p>
            <w:pPr>
              <w:pStyle w:val="TableContents"/>
              <w:bidi w:val="0"/>
              <w:spacing w:before="0" w:after="0"/>
              <w:ind w:left="0" w:right="0" w:hanging="0"/>
              <w:jc w:val="left"/>
              <w:rPr/>
            </w:pPr>
            <w:r>
              <w:rPr/>
              <w:t>​</w:t>
            </w:r>
          </w:p>
        </w:tc>
        <w:tc>
          <w:tcPr>
            <w:tcW w:w="8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shd w:fill="FFFFFF" w:val="clear"/>
            <w:vAlign w:val="center"/>
          </w:tcPr>
          <w:p>
            <w:pPr>
              <w:pStyle w:val="TableContents"/>
              <w:bidi w:val="0"/>
              <w:spacing w:before="0" w:after="0"/>
              <w:ind w:left="0" w:right="0" w:hanging="0"/>
              <w:jc w:val="left"/>
              <w:rPr/>
            </w:pPr>
            <w:r>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2,501</w:t>
            </w:r>
          </w:p>
        </w:tc>
        <w:tc>
          <w:tcPr>
            <w:tcW w:w="84" w:type="dxa"/>
            <w:tcBorders/>
            <w:shd w:fill="FFFFFF" w:val="clear"/>
            <w:vAlign w:val="center"/>
          </w:tcPr>
          <w:p>
            <w:pPr>
              <w:pStyle w:val="TableContents"/>
              <w:bidi w:val="0"/>
              <w:spacing w:before="0" w:after="0"/>
              <w:ind w:left="0" w:right="0" w:hanging="0"/>
              <w:jc w:val="left"/>
              <w:rPr/>
            </w:pPr>
            <w:r>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upon vesting of restricted stock units</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838,656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rStyle w:val="Emphasis"/>
              </w:rPr>
              <w:t>—</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Taxes related to net share settlement of equity awards</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457" w:type="dxa"/>
            <w:tcBorders/>
            <w:shd w:fill="FFFFFF" w:val="clear"/>
            <w:vAlign w:val="center"/>
          </w:tcPr>
          <w:p>
            <w:pPr>
              <w:pStyle w:val="TableContents"/>
              <w:bidi w:val="0"/>
              <w:spacing w:before="0" w:after="0"/>
              <w:ind w:left="0" w:right="0" w:hanging="0"/>
              <w:jc w:val="right"/>
              <w:rPr/>
            </w:pPr>
            <w:r>
              <w:rPr>
                <w:rStyle w:val="Emphasis"/>
              </w:rPr>
              <w:t>—</w:t>
            </w:r>
          </w:p>
        </w:tc>
        <w:tc>
          <w:tcPr>
            <w:tcW w:w="30"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shd w:fill="FFFFFF" w:val="clear"/>
            <w:vAlign w:val="center"/>
          </w:tcPr>
          <w:p>
            <w:pPr>
              <w:pStyle w:val="TableContents"/>
              <w:bidi w:val="0"/>
              <w:spacing w:before="0" w:after="0"/>
              <w:ind w:left="0" w:right="0" w:hanging="0"/>
              <w:jc w:val="left"/>
              <w:rPr/>
            </w:pPr>
            <w:r>
              <w:rPr/>
              <w:t>​</w:t>
            </w:r>
          </w:p>
        </w:tc>
        <w:tc>
          <w:tcPr>
            <w:tcW w:w="4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(396,662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4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shd w:fill="FFFFFF" w:val="clear"/>
            <w:vAlign w:val="center"/>
          </w:tcPr>
          <w:p>
            <w:pPr>
              <w:pStyle w:val="TableContents"/>
              <w:bidi w:val="0"/>
              <w:spacing w:before="0" w:after="0"/>
              <w:ind w:left="0" w:right="0" w:hanging="0"/>
              <w:jc w:val="left"/>
              <w:rPr/>
            </w:pPr>
            <w:r>
              <w:rPr/>
              <w:t>​</w:t>
            </w:r>
          </w:p>
        </w:tc>
        <w:tc>
          <w:tcPr>
            <w:tcW w:w="8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shd w:fill="FFFFFF" w:val="clear"/>
            <w:vAlign w:val="center"/>
          </w:tcPr>
          <w:p>
            <w:pPr>
              <w:pStyle w:val="TableContents"/>
              <w:bidi w:val="0"/>
              <w:spacing w:before="0" w:after="0"/>
              <w:ind w:left="0" w:right="0" w:hanging="0"/>
              <w:jc w:val="left"/>
              <w:rPr/>
            </w:pPr>
            <w:r>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(333</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under the Common Stock Purchase Agreement</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4,514,023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7,815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7,816</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Transaction costs related to the Common Stock Purchase Agreements</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457" w:type="dxa"/>
            <w:tcBorders/>
            <w:shd w:fill="FFFFFF" w:val="clear"/>
            <w:vAlign w:val="center"/>
          </w:tcPr>
          <w:p>
            <w:pPr>
              <w:pStyle w:val="TableContents"/>
              <w:bidi w:val="0"/>
              <w:spacing w:before="0" w:after="0"/>
              <w:ind w:left="0" w:right="0" w:hanging="0"/>
              <w:jc w:val="right"/>
              <w:rPr/>
            </w:pPr>
            <w:r>
              <w:rPr>
                <w:rStyle w:val="Emphasis"/>
              </w:rPr>
              <w:t>—</w:t>
            </w:r>
          </w:p>
        </w:tc>
        <w:tc>
          <w:tcPr>
            <w:tcW w:w="30"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shd w:fill="FFFFFF" w:val="clear"/>
            <w:vAlign w:val="center"/>
          </w:tcPr>
          <w:p>
            <w:pPr>
              <w:pStyle w:val="TableContents"/>
              <w:bidi w:val="0"/>
              <w:spacing w:before="0" w:after="0"/>
              <w:ind w:left="0" w:right="0" w:hanging="0"/>
              <w:jc w:val="left"/>
              <w:rPr/>
            </w:pPr>
            <w:r>
              <w:rPr/>
              <w:t>​</w:t>
            </w:r>
          </w:p>
        </w:tc>
        <w:tc>
          <w:tcPr>
            <w:tcW w:w="4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4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shd w:fill="FFFFFF" w:val="clear"/>
            <w:vAlign w:val="center"/>
          </w:tcPr>
          <w:p>
            <w:pPr>
              <w:pStyle w:val="TableContents"/>
              <w:bidi w:val="0"/>
              <w:spacing w:before="0" w:after="0"/>
              <w:ind w:left="0" w:right="0" w:hanging="0"/>
              <w:jc w:val="left"/>
              <w:rPr/>
            </w:pPr>
            <w:r>
              <w:rPr/>
              <w:t>​</w:t>
            </w:r>
          </w:p>
        </w:tc>
        <w:tc>
          <w:tcPr>
            <w:tcW w:w="8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shd w:fill="FFFFFF" w:val="clear"/>
            <w:vAlign w:val="center"/>
          </w:tcPr>
          <w:p>
            <w:pPr>
              <w:pStyle w:val="TableContents"/>
              <w:bidi w:val="0"/>
              <w:spacing w:before="0" w:after="0"/>
              <w:ind w:left="0" w:right="0" w:hanging="0"/>
              <w:jc w:val="left"/>
              <w:rPr/>
            </w:pPr>
            <w:r>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(95</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Other comprehensive income, net of tax</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(8,016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(8,016</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16"/>
              </w:rPr>
            </w:pPr>
            <w:r>
              <w:rPr>
                <w:rFonts w:ascii="Times New Roman" w:hAnsi="Times New Roman"/>
                <w:b/>
                <w:caps w:val="false"/>
                <w:smallCaps w:val="false"/>
                <w:sz w:val="16"/>
              </w:rPr>
              <w:t>BALANCE—March 31, 2025</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18,690,177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398,101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(381,111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16,998</w:t>
            </w:r>
          </w:p>
        </w:tc>
        <w:tc>
          <w:tcPr>
            <w:tcW w:w="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457" w:type="dxa"/>
            <w:tcBorders/>
            <w:shd w:fill="FFFFFF" w:val="clear"/>
            <w:vAlign w:val="center"/>
          </w:tcPr>
          <w:p>
            <w:pPr>
              <w:pStyle w:val="TableContents"/>
              <w:bidi w:val="0"/>
              <w:spacing w:before="0" w:after="0"/>
              <w:ind w:left="0" w:right="0" w:hanging="0"/>
              <w:jc w:val="right"/>
              <w:rPr/>
            </w:pPr>
            <w:r>
              <w:rPr>
                <w:rStyle w:val="Emphasis"/>
              </w:rPr>
              <w:t>—</w:t>
            </w:r>
          </w:p>
        </w:tc>
        <w:tc>
          <w:tcPr>
            <w:tcW w:w="30"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shd w:fill="FFFFFF" w:val="clear"/>
            <w:vAlign w:val="center"/>
          </w:tcPr>
          <w:p>
            <w:pPr>
              <w:pStyle w:val="TableContents"/>
              <w:bidi w:val="0"/>
              <w:spacing w:before="0" w:after="0"/>
              <w:ind w:left="0" w:right="0" w:hanging="0"/>
              <w:jc w:val="left"/>
              <w:rPr/>
            </w:pPr>
            <w:r>
              <w:rPr/>
              <w:t>​</w:t>
            </w:r>
          </w:p>
        </w:tc>
        <w:tc>
          <w:tcPr>
            <w:tcW w:w="4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4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1,160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shd w:fill="FFFFFF" w:val="clear"/>
            <w:vAlign w:val="center"/>
          </w:tcPr>
          <w:p>
            <w:pPr>
              <w:pStyle w:val="TableContents"/>
              <w:bidi w:val="0"/>
              <w:spacing w:before="0" w:after="0"/>
              <w:ind w:left="0" w:right="0" w:hanging="0"/>
              <w:jc w:val="left"/>
              <w:rPr/>
            </w:pPr>
            <w:r>
              <w:rPr/>
              <w:t>​</w:t>
            </w:r>
          </w:p>
        </w:tc>
        <w:tc>
          <w:tcPr>
            <w:tcW w:w="8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shd w:fill="FFFFFF" w:val="clear"/>
            <w:vAlign w:val="center"/>
          </w:tcPr>
          <w:p>
            <w:pPr>
              <w:pStyle w:val="TableContents"/>
              <w:bidi w:val="0"/>
              <w:spacing w:before="0" w:after="0"/>
              <w:ind w:left="0" w:right="0" w:hanging="0"/>
              <w:jc w:val="left"/>
              <w:rPr/>
            </w:pPr>
            <w:r>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1,160</w:t>
            </w:r>
          </w:p>
        </w:tc>
        <w:tc>
          <w:tcPr>
            <w:tcW w:w="84" w:type="dxa"/>
            <w:tcBorders/>
            <w:shd w:fill="FFFFFF" w:val="clear"/>
            <w:vAlign w:val="center"/>
          </w:tcPr>
          <w:p>
            <w:pPr>
              <w:pStyle w:val="TableContents"/>
              <w:bidi w:val="0"/>
              <w:spacing w:before="0" w:after="0"/>
              <w:ind w:left="0" w:right="0" w:hanging="0"/>
              <w:jc w:val="left"/>
              <w:rPr/>
            </w:pPr>
            <w:r>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upon vesting of restricted stock units</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126,766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rStyle w:val="Emphasis"/>
              </w:rPr>
              <w:t>—</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Taxes related to net share settlement of equity awards</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457" w:type="dxa"/>
            <w:tcBorders/>
            <w:shd w:fill="FFFFFF" w:val="clear"/>
            <w:vAlign w:val="center"/>
          </w:tcPr>
          <w:p>
            <w:pPr>
              <w:pStyle w:val="TableContents"/>
              <w:bidi w:val="0"/>
              <w:spacing w:before="0" w:after="0"/>
              <w:ind w:left="0" w:right="0" w:hanging="0"/>
              <w:jc w:val="right"/>
              <w:rPr/>
            </w:pPr>
            <w:r>
              <w:rPr>
                <w:rStyle w:val="Emphasis"/>
              </w:rPr>
              <w:t>—</w:t>
            </w:r>
          </w:p>
        </w:tc>
        <w:tc>
          <w:tcPr>
            <w:tcW w:w="30"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shd w:fill="FFFFFF" w:val="clear"/>
            <w:vAlign w:val="center"/>
          </w:tcPr>
          <w:p>
            <w:pPr>
              <w:pStyle w:val="TableContents"/>
              <w:bidi w:val="0"/>
              <w:spacing w:before="0" w:after="0"/>
              <w:ind w:left="0" w:right="0" w:hanging="0"/>
              <w:jc w:val="left"/>
              <w:rPr/>
            </w:pPr>
            <w:r>
              <w:rPr/>
              <w:t>​</w:t>
            </w:r>
          </w:p>
        </w:tc>
        <w:tc>
          <w:tcPr>
            <w:tcW w:w="4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(44,536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4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shd w:fill="FFFFFF" w:val="clear"/>
            <w:vAlign w:val="center"/>
          </w:tcPr>
          <w:p>
            <w:pPr>
              <w:pStyle w:val="TableContents"/>
              <w:bidi w:val="0"/>
              <w:spacing w:before="0" w:after="0"/>
              <w:ind w:left="0" w:right="0" w:hanging="0"/>
              <w:jc w:val="left"/>
              <w:rPr/>
            </w:pPr>
            <w:r>
              <w:rPr/>
              <w:t>​</w:t>
            </w:r>
          </w:p>
        </w:tc>
        <w:tc>
          <w:tcPr>
            <w:tcW w:w="8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shd w:fill="FFFFFF" w:val="clear"/>
            <w:vAlign w:val="center"/>
          </w:tcPr>
          <w:p>
            <w:pPr>
              <w:pStyle w:val="TableContents"/>
              <w:bidi w:val="0"/>
              <w:spacing w:before="0" w:after="0"/>
              <w:ind w:left="0" w:right="0" w:hanging="0"/>
              <w:jc w:val="left"/>
              <w:rPr/>
            </w:pPr>
            <w:r>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under the Common Stock Purchase Agreements</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508,003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581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581</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Transaction costs related to Common Stock Purchase Agreements</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457" w:type="dxa"/>
            <w:tcBorders/>
            <w:shd w:fill="FFFFFF" w:val="clear"/>
            <w:vAlign w:val="center"/>
          </w:tcPr>
          <w:p>
            <w:pPr>
              <w:pStyle w:val="TableContents"/>
              <w:bidi w:val="0"/>
              <w:spacing w:before="0" w:after="0"/>
              <w:ind w:left="0" w:right="0" w:hanging="0"/>
              <w:jc w:val="right"/>
              <w:rPr/>
            </w:pPr>
            <w:r>
              <w:rPr>
                <w:rStyle w:val="Emphasis"/>
              </w:rPr>
              <w:t>—</w:t>
            </w:r>
          </w:p>
        </w:tc>
        <w:tc>
          <w:tcPr>
            <w:tcW w:w="30"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shd w:fill="FFFFFF" w:val="clear"/>
            <w:vAlign w:val="center"/>
          </w:tcPr>
          <w:p>
            <w:pPr>
              <w:pStyle w:val="TableContents"/>
              <w:bidi w:val="0"/>
              <w:spacing w:before="0" w:after="0"/>
              <w:ind w:left="0" w:right="0" w:hanging="0"/>
              <w:jc w:val="left"/>
              <w:rPr/>
            </w:pPr>
            <w:r>
              <w:rPr/>
              <w:t>​</w:t>
            </w:r>
          </w:p>
        </w:tc>
        <w:tc>
          <w:tcPr>
            <w:tcW w:w="4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3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4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shd w:fill="FFFFFF" w:val="clear"/>
            <w:vAlign w:val="center"/>
          </w:tcPr>
          <w:p>
            <w:pPr>
              <w:pStyle w:val="TableContents"/>
              <w:bidi w:val="0"/>
              <w:spacing w:before="0" w:after="0"/>
              <w:ind w:left="0" w:right="0" w:hanging="0"/>
              <w:jc w:val="left"/>
              <w:rPr/>
            </w:pPr>
            <w:r>
              <w:rPr/>
              <w:t>​</w:t>
            </w:r>
          </w:p>
        </w:tc>
        <w:tc>
          <w:tcPr>
            <w:tcW w:w="8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shd w:fill="FFFFFF" w:val="clear"/>
            <w:vAlign w:val="center"/>
          </w:tcPr>
          <w:p>
            <w:pPr>
              <w:pStyle w:val="TableContents"/>
              <w:bidi w:val="0"/>
              <w:spacing w:before="0" w:after="0"/>
              <w:ind w:left="0" w:right="0" w:hanging="0"/>
              <w:jc w:val="left"/>
              <w:rPr/>
            </w:pPr>
            <w:r>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Conversions of convertible note into common stock</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1,184,549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716</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Issuance of common stock through Employee Stock Purchase Plan</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457" w:type="dxa"/>
            <w:tcBorders/>
            <w:shd w:fill="FFFFFF" w:val="clear"/>
            <w:vAlign w:val="center"/>
          </w:tcPr>
          <w:p>
            <w:pPr>
              <w:pStyle w:val="TableContents"/>
              <w:bidi w:val="0"/>
              <w:spacing w:before="0" w:after="0"/>
              <w:ind w:left="0" w:right="0" w:hanging="0"/>
              <w:jc w:val="right"/>
              <w:rPr/>
            </w:pPr>
            <w:r>
              <w:rPr>
                <w:rStyle w:val="Emphasis"/>
              </w:rPr>
              <w:t>—</w:t>
            </w:r>
          </w:p>
        </w:tc>
        <w:tc>
          <w:tcPr>
            <w:tcW w:w="30"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shd w:fill="FFFFFF" w:val="clear"/>
            <w:vAlign w:val="center"/>
          </w:tcPr>
          <w:p>
            <w:pPr>
              <w:pStyle w:val="TableContents"/>
              <w:bidi w:val="0"/>
              <w:spacing w:before="0" w:after="0"/>
              <w:ind w:left="0" w:right="0" w:hanging="0"/>
              <w:jc w:val="left"/>
              <w:rPr/>
            </w:pPr>
            <w:r>
              <w:rPr/>
              <w:t>​</w:t>
            </w:r>
          </w:p>
        </w:tc>
        <w:tc>
          <w:tcPr>
            <w:tcW w:w="4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85,307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4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shd w:fill="FFFFFF" w:val="clear"/>
            <w:vAlign w:val="center"/>
          </w:tcPr>
          <w:p>
            <w:pPr>
              <w:pStyle w:val="TableContents"/>
              <w:bidi w:val="0"/>
              <w:spacing w:before="0" w:after="0"/>
              <w:ind w:left="0" w:right="0" w:hanging="0"/>
              <w:jc w:val="left"/>
              <w:rPr/>
            </w:pPr>
            <w:r>
              <w:rPr/>
              <w:t>​</w:t>
            </w:r>
          </w:p>
        </w:tc>
        <w:tc>
          <w:tcPr>
            <w:tcW w:w="8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shd w:fill="FFFFFF" w:val="clear"/>
            <w:vAlign w:val="center"/>
          </w:tcPr>
          <w:p>
            <w:pPr>
              <w:pStyle w:val="TableContents"/>
              <w:bidi w:val="0"/>
              <w:spacing w:before="0" w:after="0"/>
              <w:ind w:left="0" w:right="0" w:hanging="0"/>
              <w:jc w:val="left"/>
              <w:rPr/>
            </w:pPr>
            <w:r>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w:t>
            </w:r>
          </w:p>
        </w:tc>
        <w:tc>
          <w:tcPr>
            <w:tcW w:w="84" w:type="dxa"/>
            <w:tcBorders/>
            <w:shd w:fill="FFFFFF" w:val="clear"/>
            <w:vAlign w:val="center"/>
          </w:tcPr>
          <w:p>
            <w:pPr>
              <w:pStyle w:val="TableContents"/>
              <w:bidi w:val="0"/>
              <w:spacing w:before="0" w:after="0"/>
              <w:ind w:left="0" w:right="0" w:hanging="0"/>
              <w:jc w:val="left"/>
              <w:rPr/>
            </w:pPr>
            <w:r>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Other comprehensive loss, net of tax</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rStyle w:val="Emphasis"/>
              </w:rPr>
              <w:t>—</w:t>
            </w:r>
          </w:p>
        </w:tc>
        <w:tc>
          <w:tcPr>
            <w:tcW w:w="30"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w:t>
            </w:r>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944"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(9,270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(9,270</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944"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16"/>
              </w:rPr>
            </w:pPr>
            <w:r>
              <w:rPr>
                <w:rFonts w:ascii="Times New Roman" w:hAnsi="Times New Roman"/>
                <w:b/>
                <w:caps w:val="false"/>
                <w:smallCaps w:val="false"/>
                <w:sz w:val="16"/>
              </w:rPr>
              <w:t>BALANCE—June 30, 2025</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20,550,266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400,561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(390,381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10,182</w:t>
            </w:r>
          </w:p>
        </w:tc>
        <w:tc>
          <w:tcPr>
            <w:tcW w:w="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cf"/>
      <w:bookmarkEnd w:id="9"/>
      <w:r>
        <w:rPr>
          <w:rFonts w:ascii="Times New Roman" w:hAnsi="Times New Roman"/>
          <w:b/>
          <w:caps w:val="false"/>
          <w:smallCaps w:val="false"/>
          <w:sz w:val="20"/>
        </w:rPr>
        <w:t>AEYE, INC.</w:t>
      </w:r>
      <w:r>
        <w:rPr>
          <w:rFonts w:ascii="Times New Roman" w:hAnsi="Times New Roman"/>
          <w:caps w:val="false"/>
          <w:smallCaps w:val="false"/>
          <w:sz w:val="20"/>
        </w:rPr>
        <w:t> </w:t>
        <w:br/>
      </w:r>
      <w:r>
        <w:rPr>
          <w:rFonts w:ascii="Times New Roman" w:hAnsi="Times New Roman"/>
          <w:b/>
          <w:caps w:val="false"/>
          <w:smallCaps w:val="false"/>
          <w:sz w:val="20"/>
        </w:rPr>
        <w:t>CONDENSED CONSOLIDATED STATEMENTS OF CASH FLOWS</w:t>
      </w:r>
      <w:r>
        <w:rPr>
          <w:rFonts w:ascii="Times New Roman" w:hAnsi="Times New Roman"/>
          <w:caps w:val="false"/>
          <w:smallCaps w:val="false"/>
          <w:sz w:val="20"/>
        </w:rPr>
        <w:t> </w:t>
        <w:br/>
      </w:r>
      <w:r>
        <w:rPr>
          <w:rFonts w:ascii="Times New Roman" w:hAnsi="Times New Roman"/>
          <w:b/>
          <w:caps w:val="false"/>
          <w:smallCaps w:val="false"/>
          <w:sz w:val="20"/>
        </w:rPr>
        <w:t>(In thousands)</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9815" w:type="dxa"/>
        <w:jc w:val="left"/>
        <w:tblInd w:w="0" w:type="dxa"/>
        <w:tblLayout w:type="fixed"/>
        <w:tblCellMar>
          <w:top w:w="0" w:type="dxa"/>
          <w:left w:w="0" w:type="dxa"/>
          <w:bottom w:w="0" w:type="dxa"/>
          <w:right w:w="0" w:type="dxa"/>
        </w:tblCellMar>
      </w:tblPr>
      <w:tblGrid>
        <w:gridCol w:w="7775"/>
        <w:gridCol w:w="23"/>
        <w:gridCol w:w="144"/>
        <w:gridCol w:w="757"/>
        <w:gridCol w:w="105"/>
        <w:gridCol w:w="30"/>
        <w:gridCol w:w="144"/>
        <w:gridCol w:w="757"/>
        <w:gridCol w:w="80"/>
      </w:tblGrid>
      <w:tr>
        <w:trPr/>
        <w:tc>
          <w:tcPr>
            <w:tcW w:w="777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9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Six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7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2026</w:t>
            </w:r>
          </w:p>
        </w:tc>
        <w:tc>
          <w:tcPr>
            <w:tcW w:w="1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CASH FLOWS FROM OPERATING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(18,367</w:t>
            </w:r>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(17,286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Adjustments to reconcile net loss to net cash used in operating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Depreciation and amortization</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95</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Noncash lease expense relating to operating lease right-of-use assets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193</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Gain on termination of operating lease, net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(1,612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Common stock purchase agreement costs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233</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306</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Debt issuance costs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2,020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Inventory write-downs, net of scrapped inventory</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Change in fair value of convertible note and warrant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(149</w:t>
            </w:r>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Stock-based compensation</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3,961</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3,661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Amortization of premiums and accretion of discounts on marketable securities, net of change in accrued interest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(106</w:t>
            </w:r>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0" w:right="0" w:firstLine="360"/>
              <w:jc w:val="left"/>
              <w:rPr>
                <w:rFonts w:ascii="Times New Roman" w:hAnsi="Times New Roman"/>
                <w:sz w:val="16"/>
              </w:rPr>
            </w:pPr>
            <w:r>
              <w:rPr>
                <w:rFonts w:ascii="Times New Roman" w:hAnsi="Times New Roman"/>
                <w:sz w:val="16"/>
              </w:rPr>
              <w:t>Expected credit losses, net of write-off</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Changes in operating assets and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Accounts receivable, net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(139</w:t>
            </w:r>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Inventories, current and noncurrent, net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Prepaid and other current assets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480</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Other noncurrent assets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53</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134</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Accounts payable</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147</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1,761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Accrued expenses and other current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(2,054</w:t>
            </w:r>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(1,522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360" w:right="0" w:hanging="0"/>
              <w:jc w:val="left"/>
              <w:rPr>
                <w:rFonts w:ascii="Times New Roman" w:hAnsi="Times New Roman"/>
                <w:sz w:val="16"/>
              </w:rPr>
            </w:pPr>
            <w:r>
              <w:rPr>
                <w:rFonts w:ascii="Times New Roman" w:hAnsi="Times New Roman"/>
                <w:sz w:val="16"/>
              </w:rPr>
              <w:t>Operating lease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(201</w:t>
            </w:r>
          </w:p>
        </w:tc>
        <w:tc>
          <w:tcPr>
            <w:tcW w:w="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(1,532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16"/>
              </w:rPr>
            </w:pPr>
            <w:r>
              <w:rPr>
                <w:rFonts w:ascii="Times New Roman" w:hAnsi="Times New Roman"/>
                <w:caps w:val="false"/>
                <w:smallCaps w:val="false"/>
                <w:sz w:val="16"/>
              </w:rPr>
              <w:t>Net cash used in operating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(15,842</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(14,158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CASH FLOWS FROM INVESTING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Purchases of property and equipment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(319</w:t>
            </w:r>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Purchases of marketable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(31,411</w:t>
            </w:r>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(14,303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FFFF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Proceeds from redemptions and maturities of marketable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14,200</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9,631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16"/>
              </w:rPr>
            </w:pPr>
            <w:r>
              <w:rPr>
                <w:rFonts w:ascii="Times New Roman" w:hAnsi="Times New Roman"/>
                <w:caps w:val="false"/>
                <w:smallCaps w:val="false"/>
                <w:sz w:val="16"/>
              </w:rPr>
              <w:t>Net cash used in investing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(17,530</w:t>
            </w:r>
          </w:p>
        </w:tc>
        <w:tc>
          <w:tcPr>
            <w:tcW w:w="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(4,686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CASH FLOWS FROM FINANCING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Proceeds from issuance of convertible note</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2,950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Payments for convertible note redemptions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(750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Transaction costs related to issuance of convertible note</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FFFF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Proceeds from issuance of common stock under Common Stock Purchase Agreements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1,977</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10,076</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Stock issuance costs related to Common Stock Purchase Agreements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(341</w:t>
            </w:r>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FFFF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Taxes paid related to the net share settlement of equity awards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(519</w:t>
            </w:r>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(364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CCEEFF" w:val="clear"/>
            <w:vAlign w:val="center"/>
          </w:tcPr>
          <w:p>
            <w:pPr>
              <w:pStyle w:val="TableContents"/>
              <w:bidi w:val="0"/>
              <w:spacing w:before="0" w:after="0"/>
              <w:ind w:left="180" w:right="0" w:hanging="0"/>
              <w:jc w:val="left"/>
              <w:rPr>
                <w:rFonts w:ascii="Times New Roman" w:hAnsi="Times New Roman"/>
                <w:sz w:val="16"/>
              </w:rPr>
            </w:pPr>
            <w:r>
              <w:rPr>
                <w:rFonts w:ascii="Times New Roman" w:hAnsi="Times New Roman"/>
                <w:sz w:val="16"/>
              </w:rPr>
              <w:t>Proceeds from issuance of common stock through the Employee Stock Purchase Plan</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109</w:t>
            </w:r>
          </w:p>
        </w:tc>
        <w:tc>
          <w:tcPr>
            <w:tcW w:w="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16"/>
              </w:rPr>
            </w:pPr>
            <w:r>
              <w:rPr>
                <w:rFonts w:ascii="Times New Roman" w:hAnsi="Times New Roman"/>
                <w:caps w:val="false"/>
                <w:smallCaps w:val="false"/>
                <w:sz w:val="16"/>
              </w:rPr>
              <w:t>Net cash provided by financing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1,226</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10,952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NET DECREASE IN CASH AND CASH EQUIVALENTS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(32,146</w:t>
            </w:r>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(7,892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7775"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CASH AND CASH EQUIVALENTS—Beginning of period</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43,356</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10,266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CASH AND CASH EQUIVALENTS—End of period</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11,210</w:t>
            </w:r>
          </w:p>
        </w:tc>
        <w:tc>
          <w:tcPr>
            <w:tcW w:w="1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2,374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SUPPLEMENTAL CASH FLOW INFORMATION:</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paid for income taxes, net of refund</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SUPPLEMENTAL DISCLOSURE OF NONCASH INVESTING AND FINANCING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Noncash debt issuance costs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1,362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Debt issuance costs included in accounts payable and accrued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Stock issuance costs included in accounts payable and accrued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62</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7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Purchases of property and equipment included in accounts payable and accrued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pPr>
            <w:r>
              <w:rPr/>
              <w:t>—</w:t>
            </w:r>
          </w:p>
        </w:tc>
        <w:tc>
          <w:tcPr>
            <w:tcW w:w="105"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75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Modification of operating lease liabilities and right-of-use asset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1,033</w:t>
            </w:r>
          </w:p>
        </w:tc>
        <w:tc>
          <w:tcPr>
            <w:tcW w:w="105"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The accompanying notes are an integral part of these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0" w:name="notes"/>
      <w:bookmarkEnd w:id="10"/>
      <w:r>
        <w:rPr>
          <w:rFonts w:ascii="Times New Roman" w:hAnsi="Times New Roman"/>
          <w:b/>
          <w:caps w:val="false"/>
          <w:smallCaps w:val="false"/>
          <w:sz w:val="20"/>
        </w:rPr>
        <w:t>AEYE,</w:t>
      </w:r>
      <w:r>
        <w:rPr>
          <w:rFonts w:ascii="Times New Roman" w:hAnsi="Times New Roman"/>
          <w:caps w:val="false"/>
          <w:smallCaps w:val="false"/>
          <w:sz w:val="20"/>
        </w:rPr>
        <w:t> </w:t>
      </w:r>
      <w:r>
        <w:rPr>
          <w:rFonts w:ascii="Times New Roman" w:hAnsi="Times New Roman"/>
          <w:b/>
          <w:caps w:val="false"/>
          <w:smallCaps w:val="false"/>
          <w:sz w:val="20"/>
        </w:rPr>
        <w:t>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UNAUDITED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data or otherwise stated)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70"/>
        <w:gridCol w:w="7040"/>
      </w:tblGrid>
      <w:tr>
        <w:trPr/>
        <w:tc>
          <w:tcPr>
            <w:tcW w:w="170" w:type="dxa"/>
            <w:tcBorders/>
            <w:vAlign w:val="center"/>
          </w:tcPr>
          <w:p>
            <w:pPr>
              <w:pStyle w:val="TableContents"/>
              <w:bidi w:val="0"/>
              <w:spacing w:before="0" w:after="0"/>
              <w:ind w:left="0" w:right="0" w:hanging="0"/>
              <w:jc w:val="left"/>
              <w:rPr/>
            </w:pPr>
            <w:bookmarkStart w:id="11" w:name="fn1"/>
            <w:bookmarkEnd w:id="11"/>
            <w:r>
              <w:rPr>
                <w:rStyle w:val="Emphasis"/>
                <w:rFonts w:ascii="Times New Roman;Times;serif" w:hAnsi="Times New Roman;Times;serif"/>
                <w:b/>
                <w:sz w:val="20"/>
              </w:rPr>
              <w:t>1.</w:t>
            </w:r>
          </w:p>
        </w:tc>
        <w:tc>
          <w:tcPr>
            <w:tcW w:w="70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ORGANIZATION AND 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AEye, Inc. and its wholly owned subsidiaries (the “Company” or “AEye”) is a provider of physical AI sensing solutions built on high-performance, active lidar systems for vehicle autonomy, advanced driver-assistance systems, or ADAS, robotic vision applications and a range of Non-Automotive applications. Our approach to supporting the developing physical AI infrastructure combines software</w:t>
        <w:noBreakHyphen/>
        <w:t>defined sensing with adaptive perception capabilities that enable machines to interpret and respond to complex physical environments in real time. Our proprietary Intelligent Sensing Platform incorporates a nearly solid state, software</w:t>
        <w:noBreakHyphen/>
        <w:t>definable active lidar sensor; an adaptive SmartScan architecture that dynamically adjusts scan patterns for different scenes and targets; and a signal processing pipeline designed to deliver precise measurements and imaging for safety critical use cases. This platform is designed to support a broad set of markets beyond passenger vehicles, including rail, aerospace and defense, smart infrastructure, and security, where long</w:t>
        <w:noBreakHyphen/>
        <w:t>range performance, environmental robustness, and software</w:t>
        <w:noBreakHyphen/>
        <w:t>based configurability are key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AEye, formerly known as CF Finance Acquisition Corp. III, (“CF III”), was originally incorporated in Delaware on </w:t>
      </w:r>
      <w:r>
        <w:rPr>
          <w:rStyle w:val="Emphasis"/>
          <w:rFonts w:ascii="Times New Roman" w:hAnsi="Times New Roman"/>
          <w:caps w:val="false"/>
          <w:smallCaps w:val="false"/>
          <w:sz w:val="20"/>
        </w:rPr>
        <w:t xml:space="preserve">March 15, 2016 </w:t>
      </w:r>
      <w:r>
        <w:rPr>
          <w:rFonts w:ascii="Times New Roman" w:hAnsi="Times New Roman"/>
          <w:caps w:val="false"/>
          <w:smallCaps w:val="false"/>
          <w:sz w:val="20"/>
        </w:rPr>
        <w:t xml:space="preserve">under the name CF SPAC Re Inc. On </w:t>
      </w:r>
      <w:r>
        <w:rPr>
          <w:rStyle w:val="Emphasis"/>
          <w:rFonts w:ascii="Times New Roman" w:hAnsi="Times New Roman"/>
          <w:caps w:val="false"/>
          <w:smallCaps w:val="false"/>
          <w:sz w:val="20"/>
        </w:rPr>
        <w:t xml:space="preserve">February 17, 2021, </w:t>
      </w:r>
      <w:r>
        <w:rPr>
          <w:rFonts w:ascii="Times New Roman" w:hAnsi="Times New Roman"/>
          <w:caps w:val="false"/>
          <w:smallCaps w:val="false"/>
          <w:sz w:val="20"/>
        </w:rPr>
        <w:t xml:space="preserve">AEye Technologies, Inc., then known as AEye, Inc., entered into an Agreement and Plan of Merger with CF III. Based on CF III’s business activities, it was a “shell company” as defined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On </w:t>
      </w:r>
      <w:r>
        <w:rPr>
          <w:rStyle w:val="Emphasis"/>
          <w:rFonts w:ascii="Times New Roman" w:hAnsi="Times New Roman"/>
          <w:caps w:val="false"/>
          <w:smallCaps w:val="false"/>
          <w:sz w:val="20"/>
        </w:rPr>
        <w:t xml:space="preserve">August 16, 2021, </w:t>
      </w:r>
      <w:r>
        <w:rPr>
          <w:rFonts w:ascii="Times New Roman" w:hAnsi="Times New Roman"/>
          <w:caps w:val="false"/>
          <w:smallCaps w:val="false"/>
          <w:sz w:val="20"/>
        </w:rPr>
        <w:t>the business combination contemplated by the Agreement and Plan of Merger was closed and CF III changed its name to AEye,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common stock and public warrants are listed on the Nasdaq Stock Market LLC (“Nasdaq”) under the symbols “LIDR” and “LIDRW”, respectively. Unless otherwise specified, “we,” “us,” “our,” “AEye,” and the “Company” refers to AEye, Inc. and its wholly owned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Unaudited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accompanying condensed consolidated financial statements are unaudited and have been prepared in accordance with accounting principles generally accepted in the United States of America (“GAAP”) for interim financial statements and pursuant to the rules and regulations of the Securities and Exchange Commission.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In the opinion of management, all adjustments considered necessary for fair presentation have been included. The accompanying interim unaudited condensed consolidated financial statements should be read in conjunction with the audited consolidated financial statements and related 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Reclassification of Prior Period Presentation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prior year amounts have been reclassified for consistency with the current year presentation.</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Significant items subject to such estimates and assumptions include write-downs of inventory to the lower of cost or net realizable value, investments, embedded derivative and warrant liabilities, stock-based compensation, and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 w:hAnsi="Times New Roman"/>
          <w:caps w:val="false"/>
          <w:smallCaps w:val="false"/>
          <w:sz w:val="20"/>
        </w:rPr>
      </w:pPr>
      <w:r>
        <w:rPr>
          <w:rFonts w:ascii="Times New Roman" w:hAnsi="Times New Roman"/>
          <w:b/>
          <w:caps w:val="false"/>
          <w:smallCaps w:val="false"/>
          <w:sz w:val="20"/>
        </w:rPr>
        <w:t>Principle of Consolidation and Liquidity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accounts of AEye, Inc. and its wholly owned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The Company has funded its operations primarily through the issuances of common stock. Since its inception, the Company has incurred net losses and negative cash flows from operations and expects to incur additional operating losses and negative operating cash flows as management continues to focus on achieving commercialization of its lidar solutions and execute on its strategic initiatives.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Company’s existing sources of liquidity included cash, cash equivalents, and marketable securities of $71,503. Management believes that the Company has sufficient financial resources to fund operations and meet its capital requirements and anticipated obligations as they come due 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from the date of issuance of these condensed consolidated financial statements.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Concentration of Credit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Financial instruments which potentially subject the Company to concentration of credit risk consist primarily of cash, cash equivalents, and marketable securities, and accounts receivable, net. The Company places its cash and cash equivalents with major financial institutions, which management assesses to be of high credit quality, to limit the exposure of each investment. The Company’s marketable securities have investment grade ratings when purchased which mitigates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accounts receivable, net are derived from customers located in North America, Europe, the Middle East, Africa (EMEA), and the Asia-Pacific (APAC) region. The Company mitigates its credit risks by performing ongoing credit evaluations of its customers’ financial conditions.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Disaggregation of Income Statement Expenses</w:t>
      </w:r>
      <w:r>
        <w:rPr>
          <w:rFonts w:ascii="Times New Roman" w:hAnsi="Times New Roman"/>
          <w:caps w:val="false"/>
          <w:smallCaps w:val="false"/>
          <w:sz w:val="20"/>
        </w:rPr>
        <w:t xml:space="preserve">, which requires annual and interim disclosure of disaggregated disclosures of certain costs and expenses on the income statement. The standard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Amendments are applied on a prospective basis with retrospective application permitted. The Company is currently evaluating the impact of this guidance.</w:t>
      </w:r>
    </w:p>
    <w:p>
      <w:pPr>
        <w:pStyle w:val="TextBody"/>
        <w:bidi w:val="0"/>
        <w:spacing w:before="0" w:after="0"/>
        <w:ind w:left="0" w:right="0" w:firstLine="72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p>
        </w:tc>
        <w:tc>
          <w:tcPr>
            <w:tcW w:w="29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fair value of the Company’s financial assets and liabilities is determined in accordance with the fair value hierarchy established in 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 and Disclosures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820”</w:t>
      </w:r>
      <w:r>
        <w:rPr>
          <w:rFonts w:ascii="Times New Roman" w:hAnsi="Times New Roman"/>
          <w:caps w:val="false"/>
          <w:smallCaps w:val="false"/>
          <w:sz w:val="20"/>
        </w:rPr>
        <w:t>).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requires an entity to maximize the use of observable inputs when measuring fair value and classifies those inputs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1</w:t>
      </w:r>
      <w:r>
        <w:rPr>
          <w:rFonts w:ascii="Times New Roman" w:hAnsi="Times New Roman"/>
          <w:caps w:val="false"/>
          <w:smallCaps w:val="false"/>
          <w:sz w:val="20"/>
        </w:rPr>
        <w:t>—Observable inputs, such as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2</w:t>
      </w:r>
      <w:r>
        <w:rPr>
          <w:rFonts w:ascii="Times New Roman" w:hAnsi="Times New Roman"/>
          <w:caps w:val="false"/>
          <w:smallCaps w:val="false"/>
          <w:sz w:val="20"/>
        </w:rPr>
        <w:t xml:space="preserve">—Observable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which are observable either directly or indirectly or can be corroborated by observable market data using quoted prices for similar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3</w:t>
      </w:r>
      <w:r>
        <w:rPr>
          <w:rFonts w:ascii="Times New Roman" w:hAnsi="Times New Roman"/>
          <w:caps w:val="false"/>
          <w:smallCaps w:val="false"/>
          <w:sz w:val="20"/>
        </w:rPr>
        <w:t xml:space="preserve">—Unobservable inputs in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which require the reporting entity to develop its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financial instruments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remeasured at fair value include accounts receivable, prepaid and other current assets, accounts payable, accrued expenses, other current and noncurrent liabilities, and the noncurrent convertible note. The carrying values of these financial instruments approximate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financial assets and liabilities measured at fair value on a recurring basis and the level of inputs used for such measurements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23"/>
        <w:gridCol w:w="195"/>
        <w:gridCol w:w="914"/>
        <w:gridCol w:w="25"/>
        <w:gridCol w:w="25"/>
        <w:gridCol w:w="438"/>
        <w:gridCol w:w="1018"/>
        <w:gridCol w:w="90"/>
        <w:gridCol w:w="25"/>
        <w:gridCol w:w="157"/>
        <w:gridCol w:w="743"/>
        <w:gridCol w:w="25"/>
        <w:gridCol w:w="25"/>
        <w:gridCol w:w="369"/>
        <w:gridCol w:w="1746"/>
        <w:gridCol w:w="25"/>
        <w:gridCol w:w="25"/>
        <w:gridCol w:w="303"/>
        <w:gridCol w:w="1441"/>
        <w:gridCol w:w="33"/>
      </w:tblGrid>
      <w:tr>
        <w:trPr/>
        <w:tc>
          <w:tcPr>
            <w:tcW w:w="256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758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Measured as of June 30, 2026 Using:</w:t>
            </w:r>
          </w:p>
        </w:tc>
        <w:tc>
          <w:tcPr>
            <w:tcW w:w="33" w:type="dxa"/>
            <w:tcBorders/>
            <w:vAlign w:val="center"/>
          </w:tcPr>
          <w:p>
            <w:pPr>
              <w:pStyle w:val="TableContents"/>
              <w:bidi w:val="0"/>
              <w:spacing w:before="0" w:after="0"/>
              <w:ind w:left="0" w:right="0" w:hanging="0"/>
              <w:jc w:val="left"/>
              <w:rPr/>
            </w:pPr>
            <w:r>
              <w:rPr/>
              <w:t>​</w:t>
            </w:r>
          </w:p>
        </w:tc>
      </w:tr>
      <w:tr>
        <w:trPr/>
        <w:tc>
          <w:tcPr>
            <w:tcW w:w="256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Adjusted Cost</w:t>
            </w:r>
          </w:p>
        </w:tc>
        <w:tc>
          <w:tcPr>
            <w:tcW w:w="25"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 Losses</w:t>
            </w:r>
          </w:p>
        </w:tc>
        <w:tc>
          <w:tcPr>
            <w:tcW w:w="90"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25"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2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and Cash Equivalents</w:t>
            </w:r>
          </w:p>
        </w:tc>
        <w:tc>
          <w:tcPr>
            <w:tcW w:w="25"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17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Marketable Securities</w:t>
            </w:r>
          </w:p>
        </w:tc>
        <w:tc>
          <w:tcPr>
            <w:tcW w:w="33" w:type="dxa"/>
            <w:tcBorders/>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90"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746"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left"/>
              <w:rPr/>
            </w:pPr>
            <w:r>
              <w:rPr/>
              <w:t>​</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Level 1</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shd w:fill="FFFFFF" w:val="clear"/>
            <w:vAlign w:val="center"/>
          </w:tcPr>
          <w:p>
            <w:pPr>
              <w:pStyle w:val="TableContents"/>
              <w:bidi w:val="0"/>
              <w:spacing w:before="0" w:after="0"/>
              <w:ind w:left="0" w:right="0" w:hanging="0"/>
              <w:jc w:val="left"/>
              <w:rPr/>
            </w:pPr>
            <w:r>
              <w:rPr/>
              <w:t>​</w:t>
            </w:r>
          </w:p>
        </w:tc>
        <w:tc>
          <w:tcPr>
            <w:tcW w:w="914"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shd w:fill="FFFFFF" w:val="clear"/>
            <w:vAlign w:val="center"/>
          </w:tcPr>
          <w:p>
            <w:pPr>
              <w:pStyle w:val="TableContents"/>
              <w:bidi w:val="0"/>
              <w:spacing w:before="0" w:after="0"/>
              <w:ind w:left="0" w:right="0" w:hanging="0"/>
              <w:jc w:val="left"/>
              <w:rPr/>
            </w:pPr>
            <w:r>
              <w:rPr/>
              <w:t>​</w:t>
            </w:r>
          </w:p>
        </w:tc>
        <w:tc>
          <w:tcPr>
            <w:tcW w:w="1018" w:type="dxa"/>
            <w:tcBorders/>
            <w:shd w:fill="FFFFFF" w:val="clear"/>
            <w:vAlign w:val="center"/>
          </w:tcPr>
          <w:p>
            <w:pPr>
              <w:pStyle w:val="TableContents"/>
              <w:bidi w:val="0"/>
              <w:spacing w:before="0" w:after="0"/>
              <w:ind w:left="0" w:right="0" w:hanging="0"/>
              <w:jc w:val="left"/>
              <w:rPr/>
            </w:pPr>
            <w:r>
              <w:rPr/>
              <w:t>​</w:t>
            </w:r>
          </w:p>
        </w:tc>
        <w:tc>
          <w:tcPr>
            <w:tcW w:w="90"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shd w:fill="FFFFFF" w:val="clear"/>
            <w:vAlign w:val="center"/>
          </w:tcPr>
          <w:p>
            <w:pPr>
              <w:pStyle w:val="TableContents"/>
              <w:bidi w:val="0"/>
              <w:spacing w:before="0" w:after="0"/>
              <w:ind w:left="0" w:right="0" w:hanging="0"/>
              <w:jc w:val="left"/>
              <w:rPr/>
            </w:pPr>
            <w:r>
              <w:rPr/>
              <w:t>​</w:t>
            </w:r>
          </w:p>
        </w:tc>
        <w:tc>
          <w:tcPr>
            <w:tcW w:w="1746"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shd w:fill="FFFFFF" w:val="clear"/>
            <w:vAlign w:val="center"/>
          </w:tcPr>
          <w:p>
            <w:pPr>
              <w:pStyle w:val="TableContents"/>
              <w:bidi w:val="0"/>
              <w:spacing w:before="0" w:after="0"/>
              <w:ind w:left="0" w:right="0" w:hanging="0"/>
              <w:jc w:val="left"/>
              <w:rPr/>
            </w:pPr>
            <w:r>
              <w:rPr/>
              <w:t>​</w:t>
            </w:r>
          </w:p>
        </w:tc>
        <w:tc>
          <w:tcPr>
            <w:tcW w:w="1441" w:type="dxa"/>
            <w:tcBorders/>
            <w:shd w:fill="FFFFFF" w:val="clear"/>
            <w:vAlign w:val="center"/>
          </w:tcPr>
          <w:p>
            <w:pPr>
              <w:pStyle w:val="TableContents"/>
              <w:bidi w:val="0"/>
              <w:spacing w:before="0" w:after="0"/>
              <w:ind w:left="0" w:right="0" w:hanging="0"/>
              <w:jc w:val="left"/>
              <w:rPr/>
            </w:pPr>
            <w:r>
              <w:rPr/>
              <w:t>​</w:t>
            </w:r>
          </w:p>
        </w:tc>
        <w:tc>
          <w:tcPr>
            <w:tcW w:w="33" w:type="dxa"/>
            <w:tcBorders/>
            <w:shd w:fill="FFFFFF" w:val="clear"/>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9,064</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8" w:type="dxa"/>
            <w:tcBorders/>
            <w:shd w:fill="CCEEFF" w:val="clear"/>
            <w:vAlign w:val="center"/>
          </w:tcPr>
          <w:p>
            <w:pPr>
              <w:pStyle w:val="TableContents"/>
              <w:bidi w:val="0"/>
              <w:spacing w:before="0" w:after="0"/>
              <w:ind w:left="0" w:right="0" w:hanging="0"/>
              <w:jc w:val="right"/>
              <w:rPr/>
            </w:pPr>
            <w:r>
              <w:rPr>
                <w:rStyle w:val="Emphasis"/>
              </w:rPr>
              <w:t>—</w:t>
            </w:r>
          </w:p>
        </w:tc>
        <w:tc>
          <w:tcPr>
            <w:tcW w:w="90"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9,064</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9,064</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41" w:type="dxa"/>
            <w:tcBorders/>
            <w:shd w:fill="CCEEFF" w:val="clear"/>
            <w:vAlign w:val="center"/>
          </w:tcPr>
          <w:p>
            <w:pPr>
              <w:pStyle w:val="TableContents"/>
              <w:bidi w:val="0"/>
              <w:spacing w:before="0" w:after="0"/>
              <w:ind w:left="0" w:right="0" w:hanging="0"/>
              <w:jc w:val="right"/>
              <w:rPr/>
            </w:pPr>
            <w:r>
              <w:rPr>
                <w:rStyle w:val="Emphasis"/>
              </w:rPr>
              <w:t>—</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Level 2</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shd w:fill="FFFFFF" w:val="clear"/>
            <w:vAlign w:val="center"/>
          </w:tcPr>
          <w:p>
            <w:pPr>
              <w:pStyle w:val="TableContents"/>
              <w:bidi w:val="0"/>
              <w:spacing w:before="0" w:after="0"/>
              <w:ind w:left="0" w:right="0" w:hanging="0"/>
              <w:jc w:val="left"/>
              <w:rPr/>
            </w:pPr>
            <w:r>
              <w:rPr/>
              <w:t>​</w:t>
            </w:r>
          </w:p>
        </w:tc>
        <w:tc>
          <w:tcPr>
            <w:tcW w:w="914"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shd w:fill="FFFFFF" w:val="clear"/>
            <w:vAlign w:val="center"/>
          </w:tcPr>
          <w:p>
            <w:pPr>
              <w:pStyle w:val="TableContents"/>
              <w:bidi w:val="0"/>
              <w:spacing w:before="0" w:after="0"/>
              <w:ind w:left="0" w:right="0" w:hanging="0"/>
              <w:jc w:val="left"/>
              <w:rPr/>
            </w:pPr>
            <w:r>
              <w:rPr/>
              <w:t>​</w:t>
            </w:r>
          </w:p>
        </w:tc>
        <w:tc>
          <w:tcPr>
            <w:tcW w:w="1018" w:type="dxa"/>
            <w:tcBorders/>
            <w:shd w:fill="FFFFFF" w:val="clear"/>
            <w:vAlign w:val="center"/>
          </w:tcPr>
          <w:p>
            <w:pPr>
              <w:pStyle w:val="TableContents"/>
              <w:bidi w:val="0"/>
              <w:spacing w:before="0" w:after="0"/>
              <w:ind w:left="0" w:right="0" w:hanging="0"/>
              <w:jc w:val="left"/>
              <w:rPr/>
            </w:pPr>
            <w:r>
              <w:rPr/>
              <w:t>​</w:t>
            </w:r>
          </w:p>
        </w:tc>
        <w:tc>
          <w:tcPr>
            <w:tcW w:w="90"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shd w:fill="FFFFFF" w:val="clear"/>
            <w:vAlign w:val="center"/>
          </w:tcPr>
          <w:p>
            <w:pPr>
              <w:pStyle w:val="TableContents"/>
              <w:bidi w:val="0"/>
              <w:spacing w:before="0" w:after="0"/>
              <w:ind w:left="0" w:right="0" w:hanging="0"/>
              <w:jc w:val="left"/>
              <w:rPr/>
            </w:pPr>
            <w:r>
              <w:rPr/>
              <w:t>​</w:t>
            </w:r>
          </w:p>
        </w:tc>
        <w:tc>
          <w:tcPr>
            <w:tcW w:w="1746"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shd w:fill="FFFFFF" w:val="clear"/>
            <w:vAlign w:val="center"/>
          </w:tcPr>
          <w:p>
            <w:pPr>
              <w:pStyle w:val="TableContents"/>
              <w:bidi w:val="0"/>
              <w:spacing w:before="0" w:after="0"/>
              <w:ind w:left="0" w:right="0" w:hanging="0"/>
              <w:jc w:val="left"/>
              <w:rPr/>
            </w:pPr>
            <w:r>
              <w:rPr/>
              <w:t>​</w:t>
            </w:r>
          </w:p>
        </w:tc>
        <w:tc>
          <w:tcPr>
            <w:tcW w:w="1441" w:type="dxa"/>
            <w:tcBorders/>
            <w:shd w:fill="FFFFFF" w:val="clear"/>
            <w:vAlign w:val="center"/>
          </w:tcPr>
          <w:p>
            <w:pPr>
              <w:pStyle w:val="TableContents"/>
              <w:bidi w:val="0"/>
              <w:spacing w:before="0" w:after="0"/>
              <w:ind w:left="0" w:right="0" w:hanging="0"/>
              <w:jc w:val="left"/>
              <w:rPr/>
            </w:pPr>
            <w:r>
              <w:rPr/>
              <w:t>​</w:t>
            </w:r>
          </w:p>
        </w:tc>
        <w:tc>
          <w:tcPr>
            <w:tcW w:w="33" w:type="dxa"/>
            <w:tcBorders/>
            <w:shd w:fill="FFFFFF" w:val="clear"/>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Corporate bonds</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22,519</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22,486</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746" w:type="dxa"/>
            <w:tcBorders/>
            <w:shd w:fill="CCEEFF" w:val="clear"/>
            <w:vAlign w:val="center"/>
          </w:tcPr>
          <w:p>
            <w:pPr>
              <w:pStyle w:val="TableContents"/>
              <w:bidi w:val="0"/>
              <w:spacing w:before="0" w:after="0"/>
              <w:ind w:left="0" w:right="0" w:hanging="0"/>
              <w:jc w:val="right"/>
              <w:rPr/>
            </w:pPr>
            <w:r>
              <w:rPr>
                <w:rStyle w:val="Emphasis"/>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22,486</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shd w:fill="FFFFFF" w:val="clear"/>
            <w:vAlign w:val="center"/>
          </w:tcPr>
          <w:p>
            <w:pPr>
              <w:pStyle w:val="TableContents"/>
              <w:bidi w:val="0"/>
              <w:spacing w:before="0" w:after="0"/>
              <w:ind w:left="0" w:right="0" w:hanging="0"/>
              <w:jc w:val="left"/>
              <w:rPr/>
            </w:pPr>
            <w:r>
              <w:rPr/>
              <w:t>​</w:t>
            </w:r>
          </w:p>
        </w:tc>
        <w:tc>
          <w:tcPr>
            <w:tcW w:w="9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5,923</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shd w:fill="FFFFFF" w:val="clear"/>
            <w:vAlign w:val="center"/>
          </w:tcPr>
          <w:p>
            <w:pPr>
              <w:pStyle w:val="TableContents"/>
              <w:bidi w:val="0"/>
              <w:spacing w:before="0" w:after="0"/>
              <w:ind w:left="0" w:right="0" w:hanging="0"/>
              <w:jc w:val="left"/>
              <w:rPr/>
            </w:pPr>
            <w:r>
              <w:rPr/>
              <w:t>​</w:t>
            </w:r>
          </w:p>
        </w:tc>
        <w:tc>
          <w:tcPr>
            <w:tcW w:w="10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5,921</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shd w:fill="FFFFFF" w:val="clear"/>
            <w:vAlign w:val="center"/>
          </w:tcPr>
          <w:p>
            <w:pPr>
              <w:pStyle w:val="TableContents"/>
              <w:bidi w:val="0"/>
              <w:spacing w:before="0" w:after="0"/>
              <w:ind w:left="0" w:right="0" w:hanging="0"/>
              <w:jc w:val="left"/>
              <w:rPr/>
            </w:pPr>
            <w:r>
              <w:rPr/>
              <w:t>​</w:t>
            </w:r>
          </w:p>
        </w:tc>
        <w:tc>
          <w:tcPr>
            <w:tcW w:w="1746"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1,499</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shd w:fill="FFFFFF" w:val="clear"/>
            <w:vAlign w:val="center"/>
          </w:tcPr>
          <w:p>
            <w:pPr>
              <w:pStyle w:val="TableContents"/>
              <w:bidi w:val="0"/>
              <w:spacing w:before="0" w:after="0"/>
              <w:ind w:left="0" w:right="0" w:hanging="0"/>
              <w:jc w:val="left"/>
              <w:rPr/>
            </w:pPr>
            <w:r>
              <w:rPr/>
              <w:t>​</w:t>
            </w:r>
          </w:p>
        </w:tc>
        <w:tc>
          <w:tcPr>
            <w:tcW w:w="14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4,422</w:t>
            </w:r>
          </w:p>
        </w:tc>
        <w:tc>
          <w:tcPr>
            <w:tcW w:w="33" w:type="dxa"/>
            <w:tcBorders/>
            <w:shd w:fill="FFFFFF" w:val="clear"/>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U.S. Government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25,574</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25,528</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746" w:type="dxa"/>
            <w:tcBorders/>
            <w:shd w:fill="CCEEFF" w:val="clear"/>
            <w:vAlign w:val="center"/>
          </w:tcPr>
          <w:p>
            <w:pPr>
              <w:pStyle w:val="TableContents"/>
              <w:bidi w:val="0"/>
              <w:spacing w:before="0" w:after="0"/>
              <w:ind w:left="0" w:right="0" w:hanging="0"/>
              <w:jc w:val="right"/>
              <w:rPr/>
            </w:pPr>
            <w:r>
              <w:rPr>
                <w:rStyle w:val="Emphasis"/>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25,528</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Agency bonds</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shd w:fill="FFFFFF" w:val="clear"/>
            <w:vAlign w:val="center"/>
          </w:tcPr>
          <w:p>
            <w:pPr>
              <w:pStyle w:val="TableContents"/>
              <w:bidi w:val="0"/>
              <w:spacing w:before="0" w:after="0"/>
              <w:ind w:left="0" w:right="0" w:hanging="0"/>
              <w:jc w:val="left"/>
              <w:rPr/>
            </w:pPr>
            <w:r>
              <w:rPr/>
              <w:t>​</w:t>
            </w:r>
          </w:p>
        </w:tc>
        <w:tc>
          <w:tcPr>
            <w:tcW w:w="9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2,018</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shd w:fill="FFFFFF" w:val="clear"/>
            <w:vAlign w:val="center"/>
          </w:tcPr>
          <w:p>
            <w:pPr>
              <w:pStyle w:val="TableContents"/>
              <w:bidi w:val="0"/>
              <w:spacing w:before="0" w:after="0"/>
              <w:ind w:left="0" w:right="0" w:hanging="0"/>
              <w:jc w:val="left"/>
              <w:rPr/>
            </w:pPr>
            <w:r>
              <w:rPr/>
              <w:t>​</w:t>
            </w:r>
          </w:p>
        </w:tc>
        <w:tc>
          <w:tcPr>
            <w:tcW w:w="101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2,009</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shd w:fill="FFFFFF" w:val="clear"/>
            <w:vAlign w:val="center"/>
          </w:tcPr>
          <w:p>
            <w:pPr>
              <w:pStyle w:val="TableContents"/>
              <w:bidi w:val="0"/>
              <w:spacing w:before="0" w:after="0"/>
              <w:ind w:left="0" w:right="0" w:hanging="0"/>
              <w:jc w:val="left"/>
              <w:rPr/>
            </w:pPr>
            <w:r>
              <w:rPr/>
              <w:t>​</w:t>
            </w:r>
          </w:p>
        </w:tc>
        <w:tc>
          <w:tcPr>
            <w:tcW w:w="1746" w:type="dxa"/>
            <w:tcBorders/>
            <w:shd w:fill="FFFFFF" w:val="clear"/>
            <w:vAlign w:val="center"/>
          </w:tcPr>
          <w:p>
            <w:pPr>
              <w:pStyle w:val="TableContents"/>
              <w:bidi w:val="0"/>
              <w:spacing w:before="0" w:after="0"/>
              <w:ind w:left="0" w:right="0" w:hanging="0"/>
              <w:jc w:val="right"/>
              <w:rPr/>
            </w:pPr>
            <w:r>
              <w:rPr>
                <w:rStyle w:val="Emphasis"/>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2,009</w:t>
            </w:r>
          </w:p>
        </w:tc>
        <w:tc>
          <w:tcPr>
            <w:tcW w:w="33" w:type="dxa"/>
            <w:tcBorders/>
            <w:shd w:fill="FFFFFF" w:val="clear"/>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5,856</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5,848</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5,848</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financial assets</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70,954</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70,856</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10,563</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4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60,293</w:t>
            </w:r>
          </w:p>
        </w:tc>
        <w:tc>
          <w:tcPr>
            <w:tcW w:w="33" w:type="dxa"/>
            <w:tcBorders/>
            <w:shd w:fill="FFFFFF" w:val="clear"/>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90"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746"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left"/>
              <w:rPr/>
            </w:pPr>
            <w:r>
              <w:rPr/>
              <w:t>​</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Level 2</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shd w:fill="FFFFFF" w:val="clear"/>
            <w:vAlign w:val="center"/>
          </w:tcPr>
          <w:p>
            <w:pPr>
              <w:pStyle w:val="TableContents"/>
              <w:bidi w:val="0"/>
              <w:spacing w:before="0" w:after="0"/>
              <w:ind w:left="0" w:right="0" w:hanging="0"/>
              <w:jc w:val="left"/>
              <w:rPr/>
            </w:pPr>
            <w:r>
              <w:rPr/>
              <w:t>​</w:t>
            </w:r>
          </w:p>
        </w:tc>
        <w:tc>
          <w:tcPr>
            <w:tcW w:w="914"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shd w:fill="FFFFFF" w:val="clear"/>
            <w:vAlign w:val="center"/>
          </w:tcPr>
          <w:p>
            <w:pPr>
              <w:pStyle w:val="TableContents"/>
              <w:bidi w:val="0"/>
              <w:spacing w:before="0" w:after="0"/>
              <w:ind w:left="0" w:right="0" w:hanging="0"/>
              <w:jc w:val="left"/>
              <w:rPr/>
            </w:pPr>
            <w:r>
              <w:rPr/>
              <w:t>​</w:t>
            </w:r>
          </w:p>
        </w:tc>
        <w:tc>
          <w:tcPr>
            <w:tcW w:w="1018" w:type="dxa"/>
            <w:tcBorders/>
            <w:shd w:fill="FFFFFF" w:val="clear"/>
            <w:vAlign w:val="center"/>
          </w:tcPr>
          <w:p>
            <w:pPr>
              <w:pStyle w:val="TableContents"/>
              <w:bidi w:val="0"/>
              <w:spacing w:before="0" w:after="0"/>
              <w:ind w:left="0" w:right="0" w:hanging="0"/>
              <w:jc w:val="left"/>
              <w:rPr/>
            </w:pPr>
            <w:r>
              <w:rPr/>
              <w:t>​</w:t>
            </w:r>
          </w:p>
        </w:tc>
        <w:tc>
          <w:tcPr>
            <w:tcW w:w="90"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shd w:fill="FFFFFF" w:val="clear"/>
            <w:vAlign w:val="center"/>
          </w:tcPr>
          <w:p>
            <w:pPr>
              <w:pStyle w:val="TableContents"/>
              <w:bidi w:val="0"/>
              <w:spacing w:before="0" w:after="0"/>
              <w:ind w:left="0" w:right="0" w:hanging="0"/>
              <w:jc w:val="left"/>
              <w:rPr/>
            </w:pPr>
            <w:r>
              <w:rPr/>
              <w:t>​</w:t>
            </w:r>
          </w:p>
        </w:tc>
        <w:tc>
          <w:tcPr>
            <w:tcW w:w="1746"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shd w:fill="FFFFFF" w:val="clear"/>
            <w:vAlign w:val="center"/>
          </w:tcPr>
          <w:p>
            <w:pPr>
              <w:pStyle w:val="TableContents"/>
              <w:bidi w:val="0"/>
              <w:spacing w:before="0" w:after="0"/>
              <w:ind w:left="0" w:right="0" w:hanging="0"/>
              <w:jc w:val="left"/>
              <w:rPr/>
            </w:pPr>
            <w:r>
              <w:rPr/>
              <w:t>​</w:t>
            </w:r>
          </w:p>
        </w:tc>
        <w:tc>
          <w:tcPr>
            <w:tcW w:w="1441" w:type="dxa"/>
            <w:tcBorders/>
            <w:shd w:fill="FFFFFF" w:val="clear"/>
            <w:vAlign w:val="center"/>
          </w:tcPr>
          <w:p>
            <w:pPr>
              <w:pStyle w:val="TableContents"/>
              <w:bidi w:val="0"/>
              <w:spacing w:before="0" w:after="0"/>
              <w:ind w:left="0" w:right="0" w:hanging="0"/>
              <w:jc w:val="left"/>
              <w:rPr/>
            </w:pPr>
            <w:r>
              <w:rPr/>
              <w:t>​</w:t>
            </w:r>
          </w:p>
        </w:tc>
        <w:tc>
          <w:tcPr>
            <w:tcW w:w="33" w:type="dxa"/>
            <w:tcBorders/>
            <w:shd w:fill="FFFFFF" w:val="clear"/>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Private placement warrant liability</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4" w:type="dxa"/>
            <w:tcBorders/>
            <w:shd w:fill="CCEEFF" w:val="clear"/>
            <w:vAlign w:val="center"/>
          </w:tcPr>
          <w:p>
            <w:pPr>
              <w:pStyle w:val="TableContents"/>
              <w:bidi w:val="0"/>
              <w:spacing w:before="0" w:after="0"/>
              <w:ind w:left="0" w:right="0" w:hanging="0"/>
              <w:jc w:val="right"/>
              <w:rPr/>
            </w:pPr>
            <w:r>
              <w:rPr>
                <w:rStyle w:val="Emphasis"/>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8" w:type="dxa"/>
            <w:tcBorders/>
            <w:shd w:fill="CCEEFF" w:val="clear"/>
            <w:vAlign w:val="center"/>
          </w:tcPr>
          <w:p>
            <w:pPr>
              <w:pStyle w:val="TableContents"/>
              <w:bidi w:val="0"/>
              <w:spacing w:before="0" w:after="0"/>
              <w:ind w:left="0" w:right="0" w:hanging="0"/>
              <w:jc w:val="right"/>
              <w:rPr/>
            </w:pPr>
            <w:r>
              <w:rPr>
                <w:rStyle w:val="Emphasis"/>
              </w:rPr>
              <w:t>—</w:t>
            </w:r>
          </w:p>
        </w:tc>
        <w:tc>
          <w:tcPr>
            <w:tcW w:w="90"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46" w:type="dxa"/>
            <w:tcBorders/>
            <w:shd w:fill="CCEEFF" w:val="clear"/>
            <w:vAlign w:val="center"/>
          </w:tcPr>
          <w:p>
            <w:pPr>
              <w:pStyle w:val="TableContents"/>
              <w:bidi w:val="0"/>
              <w:spacing w:before="0" w:after="0"/>
              <w:ind w:left="0" w:right="0" w:hanging="0"/>
              <w:jc w:val="right"/>
              <w:rPr/>
            </w:pPr>
            <w:r>
              <w:rPr>
                <w:rStyle w:val="Emphasis"/>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41" w:type="dxa"/>
            <w:tcBorders/>
            <w:shd w:fill="CCEEFF" w:val="clear"/>
            <w:vAlign w:val="center"/>
          </w:tcPr>
          <w:p>
            <w:pPr>
              <w:pStyle w:val="TableContents"/>
              <w:bidi w:val="0"/>
              <w:spacing w:before="0" w:after="0"/>
              <w:ind w:left="0" w:right="0" w:hanging="0"/>
              <w:jc w:val="right"/>
              <w:rPr/>
            </w:pPr>
            <w:r>
              <w:rPr>
                <w:rStyle w:val="Emphasis"/>
              </w:rPr>
              <w:t>—</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Level 3</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shd w:fill="FFFFFF" w:val="clear"/>
            <w:vAlign w:val="center"/>
          </w:tcPr>
          <w:p>
            <w:pPr>
              <w:pStyle w:val="TableContents"/>
              <w:bidi w:val="0"/>
              <w:spacing w:before="0" w:after="0"/>
              <w:ind w:left="0" w:right="0" w:hanging="0"/>
              <w:jc w:val="left"/>
              <w:rPr/>
            </w:pPr>
            <w:r>
              <w:rPr/>
              <w:t>​</w:t>
            </w:r>
          </w:p>
        </w:tc>
        <w:tc>
          <w:tcPr>
            <w:tcW w:w="914"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shd w:fill="FFFFFF" w:val="clear"/>
            <w:vAlign w:val="center"/>
          </w:tcPr>
          <w:p>
            <w:pPr>
              <w:pStyle w:val="TableContents"/>
              <w:bidi w:val="0"/>
              <w:spacing w:before="0" w:after="0"/>
              <w:ind w:left="0" w:right="0" w:hanging="0"/>
              <w:jc w:val="left"/>
              <w:rPr/>
            </w:pPr>
            <w:r>
              <w:rPr/>
              <w:t>​</w:t>
            </w:r>
          </w:p>
        </w:tc>
        <w:tc>
          <w:tcPr>
            <w:tcW w:w="1018" w:type="dxa"/>
            <w:tcBorders/>
            <w:shd w:fill="FFFFFF" w:val="clear"/>
            <w:vAlign w:val="center"/>
          </w:tcPr>
          <w:p>
            <w:pPr>
              <w:pStyle w:val="TableContents"/>
              <w:bidi w:val="0"/>
              <w:spacing w:before="0" w:after="0"/>
              <w:ind w:left="0" w:right="0" w:hanging="0"/>
              <w:jc w:val="left"/>
              <w:rPr/>
            </w:pPr>
            <w:r>
              <w:rPr/>
              <w:t>​</w:t>
            </w:r>
          </w:p>
        </w:tc>
        <w:tc>
          <w:tcPr>
            <w:tcW w:w="90"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shd w:fill="FFFFFF" w:val="clear"/>
            <w:vAlign w:val="center"/>
          </w:tcPr>
          <w:p>
            <w:pPr>
              <w:pStyle w:val="TableContents"/>
              <w:bidi w:val="0"/>
              <w:spacing w:before="0" w:after="0"/>
              <w:ind w:left="0" w:right="0" w:hanging="0"/>
              <w:jc w:val="left"/>
              <w:rPr/>
            </w:pPr>
            <w:r>
              <w:rPr/>
              <w:t>​</w:t>
            </w:r>
          </w:p>
        </w:tc>
        <w:tc>
          <w:tcPr>
            <w:tcW w:w="1746"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shd w:fill="FFFFFF" w:val="clear"/>
            <w:vAlign w:val="center"/>
          </w:tcPr>
          <w:p>
            <w:pPr>
              <w:pStyle w:val="TableContents"/>
              <w:bidi w:val="0"/>
              <w:spacing w:before="0" w:after="0"/>
              <w:ind w:left="0" w:right="0" w:hanging="0"/>
              <w:jc w:val="left"/>
              <w:rPr/>
            </w:pPr>
            <w:r>
              <w:rPr/>
              <w:t>​</w:t>
            </w:r>
          </w:p>
        </w:tc>
        <w:tc>
          <w:tcPr>
            <w:tcW w:w="1441" w:type="dxa"/>
            <w:tcBorders/>
            <w:shd w:fill="FFFFFF" w:val="clear"/>
            <w:vAlign w:val="center"/>
          </w:tcPr>
          <w:p>
            <w:pPr>
              <w:pStyle w:val="TableContents"/>
              <w:bidi w:val="0"/>
              <w:spacing w:before="0" w:after="0"/>
              <w:ind w:left="0" w:right="0" w:hanging="0"/>
              <w:jc w:val="left"/>
              <w:rPr/>
            </w:pPr>
            <w:r>
              <w:rPr/>
              <w:t>​</w:t>
            </w:r>
          </w:p>
        </w:tc>
        <w:tc>
          <w:tcPr>
            <w:tcW w:w="33" w:type="dxa"/>
            <w:tcBorders/>
            <w:shd w:fill="FFFFFF" w:val="clear"/>
            <w:vAlign w:val="center"/>
          </w:tcPr>
          <w:p>
            <w:pPr>
              <w:pStyle w:val="TableContents"/>
              <w:bidi w:val="0"/>
              <w:spacing w:before="0" w:after="0"/>
              <w:ind w:left="0" w:right="0" w:hanging="0"/>
              <w:jc w:val="left"/>
              <w:rPr/>
            </w:pPr>
            <w:r>
              <w:rPr/>
              <w:t>​</w:t>
            </w:r>
          </w:p>
        </w:tc>
      </w:tr>
      <w:tr>
        <w:trPr/>
        <w:tc>
          <w:tcPr>
            <w:tcW w:w="25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Derivative warrant liability</w:t>
            </w:r>
          </w:p>
        </w:tc>
        <w:tc>
          <w:tcPr>
            <w:tcW w:w="23" w:type="dxa"/>
            <w:tcBorders/>
            <w:shd w:fill="CCEEFF" w:val="clear"/>
            <w:vAlign w:val="center"/>
          </w:tcPr>
          <w:p>
            <w:pPr>
              <w:pStyle w:val="TableContents"/>
              <w:bidi w:val="0"/>
              <w:spacing w:before="0" w:after="0"/>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4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90"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33" w:type="dxa"/>
            <w:tcBorders/>
            <w:shd w:fill="CCEEFF" w:val="clear"/>
            <w:vAlign w:val="center"/>
          </w:tcPr>
          <w:p>
            <w:pPr>
              <w:pStyle w:val="TableContents"/>
              <w:bidi w:val="0"/>
              <w:spacing w:before="0" w:after="0"/>
              <w:ind w:left="0" w:right="0" w:hanging="0"/>
              <w:jc w:val="left"/>
              <w:rPr/>
            </w:pPr>
            <w:r>
              <w:rPr/>
              <w:t>​</w:t>
            </w:r>
          </w:p>
        </w:tc>
      </w:tr>
      <w:tr>
        <w:trPr/>
        <w:tc>
          <w:tcPr>
            <w:tcW w:w="256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financial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9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4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90"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5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4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3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9"/>
        <w:gridCol w:w="60"/>
        <w:gridCol w:w="192"/>
        <w:gridCol w:w="895"/>
        <w:gridCol w:w="68"/>
        <w:gridCol w:w="68"/>
        <w:gridCol w:w="433"/>
        <w:gridCol w:w="903"/>
        <w:gridCol w:w="68"/>
        <w:gridCol w:w="68"/>
        <w:gridCol w:w="154"/>
        <w:gridCol w:w="734"/>
        <w:gridCol w:w="68"/>
        <w:gridCol w:w="68"/>
        <w:gridCol w:w="354"/>
        <w:gridCol w:w="1681"/>
        <w:gridCol w:w="68"/>
        <w:gridCol w:w="68"/>
        <w:gridCol w:w="290"/>
        <w:gridCol w:w="1383"/>
        <w:gridCol w:w="73"/>
      </w:tblGrid>
      <w:tr>
        <w:trPr/>
        <w:tc>
          <w:tcPr>
            <w:tcW w:w="250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63"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 Measured as of December 31, 2025 Using:</w:t>
            </w:r>
          </w:p>
        </w:tc>
        <w:tc>
          <w:tcPr>
            <w:tcW w:w="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 Cost</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and Cash Equivalents</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6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Marketable Securities</w:t>
            </w:r>
          </w:p>
        </w:tc>
        <w:tc>
          <w:tcPr>
            <w:tcW w:w="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 </w:t>
            </w:r>
          </w:p>
        </w:tc>
        <w:tc>
          <w:tcPr>
            <w:tcW w:w="138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734"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0"/>
              <w:ind w:left="0" w:right="0" w:hanging="0"/>
              <w:jc w:val="left"/>
              <w:rPr/>
            </w:pPr>
            <w:r>
              <w:rPr/>
              <w:t> </w:t>
            </w:r>
          </w:p>
        </w:tc>
        <w:tc>
          <w:tcPr>
            <w:tcW w:w="168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38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42,718</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pPr>
            <w:r>
              <w:rPr>
                <w:rStyle w:val="Emphasis"/>
              </w:rPr>
              <w:t>—</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42,718</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42,718</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3" w:type="dxa"/>
            <w:tcBorders/>
            <w:shd w:fill="CCEEFF" w:val="clear"/>
            <w:vAlign w:val="center"/>
          </w:tcPr>
          <w:p>
            <w:pPr>
              <w:pStyle w:val="TableContents"/>
              <w:bidi w:val="0"/>
              <w:spacing w:before="0" w:after="283"/>
              <w:ind w:left="0" w:right="0" w:hanging="0"/>
              <w:jc w:val="right"/>
              <w:rPr/>
            </w:pPr>
            <w:r>
              <w:rPr>
                <w:rStyle w:val="Emphasis"/>
              </w:rPr>
              <w:t>—</w:t>
            </w:r>
          </w:p>
        </w:tc>
        <w:tc>
          <w:tcPr>
            <w:tcW w:w="73" w:type="dxa"/>
            <w:tcBorders/>
            <w:shd w:fill="CCEEFF" w:val="cle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734"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0"/>
              <w:ind w:left="0" w:right="0" w:hanging="0"/>
              <w:jc w:val="left"/>
              <w:rPr/>
            </w:pPr>
            <w:r>
              <w:rPr/>
              <w:t> </w:t>
            </w:r>
          </w:p>
        </w:tc>
        <w:tc>
          <w:tcPr>
            <w:tcW w:w="168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38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19,620</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19,633</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283"/>
              <w:ind w:left="0" w:right="0" w:hanging="0"/>
              <w:jc w:val="right"/>
              <w:rPr/>
            </w:pPr>
            <w:r>
              <w:rPr>
                <w:rStyle w:val="Emphasis"/>
              </w:rPr>
              <w:t>—</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19,633</w:t>
            </w:r>
          </w:p>
        </w:tc>
        <w:tc>
          <w:tcPr>
            <w:tcW w:w="73" w:type="dxa"/>
            <w:tcBorders/>
            <w:shd w:fill="CCEEFF" w:val="cle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7,531</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7,534</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0"/>
              <w:ind w:left="0" w:right="0" w:hanging="0"/>
              <w:jc w:val="left"/>
              <w:rPr/>
            </w:pPr>
            <w:r>
              <w:rPr/>
              <w:t> </w:t>
            </w:r>
          </w:p>
        </w:tc>
        <w:tc>
          <w:tcPr>
            <w:tcW w:w="1681" w:type="dxa"/>
            <w:tcBorders/>
            <w:shd w:fill="FFFFFF" w:val="clear"/>
            <w:vAlign w:val="center"/>
          </w:tcPr>
          <w:p>
            <w:pPr>
              <w:pStyle w:val="TableContents"/>
              <w:bidi w:val="0"/>
              <w:spacing w:before="0" w:after="283"/>
              <w:ind w:left="0" w:right="0" w:hanging="0"/>
              <w:jc w:val="right"/>
              <w:rPr/>
            </w:pPr>
            <w:r>
              <w:rPr>
                <w:rStyle w:val="Emphasis"/>
              </w:rPr>
              <w:t>—</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3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7,534</w:t>
            </w:r>
          </w:p>
        </w:tc>
        <w:tc>
          <w:tcPr>
            <w:tcW w:w="73" w:type="dxa"/>
            <w:tcBorders/>
            <w:shd w:fill="FFFFFF" w:val="cle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8,003</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8,012</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283"/>
              <w:ind w:left="0" w:right="0" w:hanging="0"/>
              <w:jc w:val="right"/>
              <w:rPr/>
            </w:pPr>
            <w:r>
              <w:rPr>
                <w:rStyle w:val="Emphasis"/>
              </w:rPr>
              <w:t>—</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8,012</w:t>
            </w:r>
          </w:p>
        </w:tc>
        <w:tc>
          <w:tcPr>
            <w:tcW w:w="73" w:type="dxa"/>
            <w:tcBorders/>
            <w:shd w:fill="CCEEFF" w:val="cle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Agency bonds</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2,018</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2,018</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0"/>
              <w:ind w:left="0" w:right="0" w:hanging="0"/>
              <w:jc w:val="left"/>
              <w:rPr/>
            </w:pPr>
            <w:r>
              <w:rPr/>
              <w:t> </w:t>
            </w:r>
          </w:p>
        </w:tc>
        <w:tc>
          <w:tcPr>
            <w:tcW w:w="1681" w:type="dxa"/>
            <w:tcBorders/>
            <w:shd w:fill="FFFFFF" w:val="clear"/>
            <w:vAlign w:val="center"/>
          </w:tcPr>
          <w:p>
            <w:pPr>
              <w:pStyle w:val="TableContents"/>
              <w:bidi w:val="0"/>
              <w:spacing w:before="0" w:after="283"/>
              <w:jc w:val="right"/>
              <w:rPr/>
            </w:pPr>
            <w:r>
              <w:rPr>
                <w:rStyle w:val="Emphasis"/>
              </w:rPr>
              <w:t>—</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3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2,018</w:t>
            </w:r>
          </w:p>
        </w:tc>
        <w:tc>
          <w:tcPr>
            <w:tcW w:w="73" w:type="dxa"/>
            <w:tcBorders/>
            <w:shd w:fill="FFFFFF" w:val="cle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Asset-backed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5,907</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5,907</w:t>
            </w:r>
          </w:p>
        </w:tc>
        <w:tc>
          <w:tcPr>
            <w:tcW w:w="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85,792</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85,822</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42,718</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43,104</w:t>
            </w:r>
          </w:p>
        </w:tc>
        <w:tc>
          <w:tcPr>
            <w:tcW w:w="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 </w:t>
            </w:r>
          </w:p>
        </w:tc>
        <w:tc>
          <w:tcPr>
            <w:tcW w:w="138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734"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0"/>
              <w:ind w:left="0" w:right="0" w:hanging="0"/>
              <w:jc w:val="left"/>
              <w:rPr/>
            </w:pPr>
            <w:r>
              <w:rPr/>
              <w:t> </w:t>
            </w:r>
          </w:p>
        </w:tc>
        <w:tc>
          <w:tcPr>
            <w:tcW w:w="168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38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Private placement warrant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jc w:val="right"/>
              <w:rPr/>
            </w:pPr>
            <w:r>
              <w:rPr>
                <w:rStyle w:val="Emphasis"/>
              </w:rPr>
              <w:t>—</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jc w:val="right"/>
              <w:rPr/>
            </w:pPr>
            <w:r>
              <w:rPr>
                <w:rStyle w:val="Emphasis"/>
              </w:rPr>
              <w:t>—</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81" w:type="dxa"/>
            <w:tcBorders/>
            <w:shd w:fill="CCEEFF" w:val="clear"/>
            <w:vAlign w:val="center"/>
          </w:tcPr>
          <w:p>
            <w:pPr>
              <w:pStyle w:val="TableContents"/>
              <w:bidi w:val="0"/>
              <w:spacing w:before="0" w:after="283"/>
              <w:jc w:val="right"/>
              <w:rPr/>
            </w:pPr>
            <w:r>
              <w:rPr>
                <w:rStyle w:val="Emphasis"/>
              </w:rPr>
              <w:t>—</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3" w:type="dxa"/>
            <w:tcBorders/>
            <w:shd w:fill="CCEEFF" w:val="clear"/>
            <w:vAlign w:val="center"/>
          </w:tcPr>
          <w:p>
            <w:pPr>
              <w:pStyle w:val="TableContents"/>
              <w:bidi w:val="0"/>
              <w:spacing w:before="0" w:after="283"/>
              <w:jc w:val="right"/>
              <w:rPr/>
            </w:pPr>
            <w:r>
              <w:rPr>
                <w:rStyle w:val="Emphasis"/>
              </w:rPr>
              <w:t>—</w:t>
            </w:r>
          </w:p>
        </w:tc>
        <w:tc>
          <w:tcPr>
            <w:tcW w:w="73" w:type="dxa"/>
            <w:tcBorders/>
            <w:shd w:fill="CCEEFF" w:val="cle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895"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shd w:fill="FFFFFF" w:val="clear"/>
            <w:vAlign w:val="center"/>
          </w:tcPr>
          <w:p>
            <w:pPr>
              <w:pStyle w:val="TableContents"/>
              <w:bidi w:val="0"/>
              <w:spacing w:before="0" w:after="0"/>
              <w:ind w:left="0" w:right="0" w:hanging="0"/>
              <w:jc w:val="left"/>
              <w:rPr/>
            </w:pPr>
            <w:r>
              <w:rPr/>
              <w:t> </w:t>
            </w:r>
          </w:p>
        </w:tc>
        <w:tc>
          <w:tcPr>
            <w:tcW w:w="90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734"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0"/>
              <w:ind w:left="0" w:right="0" w:hanging="0"/>
              <w:jc w:val="left"/>
              <w:rPr/>
            </w:pPr>
            <w:r>
              <w:rPr/>
              <w:t> </w:t>
            </w:r>
          </w:p>
        </w:tc>
        <w:tc>
          <w:tcPr>
            <w:tcW w:w="168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left"/>
              <w:rPr/>
            </w:pPr>
            <w:r>
              <w:rPr/>
              <w:t> </w:t>
            </w:r>
          </w:p>
        </w:tc>
        <w:tc>
          <w:tcPr>
            <w:tcW w:w="138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r>
      <w:tr>
        <w:trPr/>
        <w:tc>
          <w:tcPr>
            <w:tcW w:w="250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warrant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0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3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financial assets and liabilities subject to fair value procedures were comprised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Money Market Funds: </w:t>
      </w:r>
      <w:r>
        <w:rPr>
          <w:rFonts w:ascii="Times New Roman" w:hAnsi="Times New Roman"/>
          <w:caps w:val="false"/>
          <w:smallCaps w:val="false"/>
          <w:sz w:val="20"/>
        </w:rPr>
        <w:t>The Company holds financial assets consisting of money market funds. These securities are valued using observable inputs, such as quoted prices in active markets for identical assets or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Marketable Securities</w:t>
      </w:r>
      <w:r>
        <w:rPr>
          <w:rFonts w:ascii="Times New Roman" w:hAnsi="Times New Roman"/>
          <w:caps w:val="false"/>
          <w:smallCaps w:val="false"/>
          <w:sz w:val="20"/>
        </w:rPr>
        <w:t>: The Company holds financial assets consisting of fixed-income U.S. government securities, corporate bonds, commercial paper, agency bonds, and asset-backed securities. The securities are valued using prices from independent pricing services based on quoted prices of identical instruments in less active or inactive markets.  Additionally, quoted prices of similar instruments in active market or industry models using data inputs such as interest rates and prices that can be directly observed or corroborated in active markets are used to value marketable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sz w:val="20"/>
        </w:rPr>
        <w:t>Derivative</w:t>
      </w:r>
      <w:r>
        <w:rPr>
          <w:rFonts w:ascii="Times New Roman" w:hAnsi="Times New Roman"/>
          <w:sz w:val="20"/>
        </w:rPr>
        <w:t xml:space="preserve"> </w:t>
      </w:r>
      <w:r>
        <w:rPr>
          <w:rFonts w:ascii="Times New Roman" w:hAnsi="Times New Roman"/>
          <w:i/>
          <w:sz w:val="20"/>
        </w:rPr>
        <w:t>Warrant Liabilities:</w:t>
      </w:r>
      <w:r>
        <w:rPr>
          <w:rFonts w:ascii="Times New Roman" w:hAnsi="Times New Roman"/>
          <w:sz w:val="20"/>
        </w:rPr>
        <w:t xml:space="preserve"> On </w:t>
      </w:r>
      <w:r>
        <w:rPr>
          <w:rStyle w:val="Emphasis"/>
          <w:rFonts w:ascii="Times New Roman" w:hAnsi="Times New Roman"/>
          <w:sz w:val="20"/>
        </w:rPr>
        <w:t xml:space="preserve"> September 15, 2022</w:t>
      </w:r>
      <w:r>
        <w:rPr>
          <w:rFonts w:ascii="Times New Roman" w:hAnsi="Times New Roman"/>
          <w:sz w:val="20"/>
        </w:rPr>
        <w:t xml:space="preserve">, the Company entered into a convertible note agreement with a face value of $10,500 (the </w:t>
      </w:r>
      <w:r>
        <w:rPr>
          <w:rStyle w:val="Emphasis"/>
          <w:rFonts w:ascii="Times New Roman" w:hAnsi="Times New Roman"/>
          <w:sz w:val="20"/>
        </w:rPr>
        <w:t>"2022</w:t>
      </w:r>
      <w:r>
        <w:rPr>
          <w:rFonts w:ascii="Times New Roman" w:hAnsi="Times New Roman"/>
          <w:sz w:val="20"/>
        </w:rPr>
        <w:t xml:space="preserve"> Note"). The Company issued warrants as part of the </w:t>
      </w:r>
      <w:r>
        <w:rPr>
          <w:rStyle w:val="Emphasis"/>
          <w:rFonts w:ascii="Times New Roman" w:hAnsi="Times New Roman"/>
          <w:sz w:val="20"/>
        </w:rPr>
        <w:t>2022</w:t>
      </w:r>
      <w:r>
        <w:rPr>
          <w:rFonts w:ascii="Times New Roman" w:hAnsi="Times New Roman"/>
          <w:sz w:val="20"/>
        </w:rPr>
        <w:t xml:space="preserve"> Note. The warrants were recorded on the condensed consolidated balance sheets at fair value. The fair value is based on unobservable inputs, which represent Level </w:t>
      </w:r>
      <w:r>
        <w:rPr>
          <w:rStyle w:val="Emphasis"/>
          <w:rFonts w:ascii="Times New Roman" w:hAnsi="Times New Roman"/>
          <w:sz w:val="20"/>
        </w:rPr>
        <w:t>3</w:t>
      </w:r>
      <w:r>
        <w:rPr>
          <w:rFonts w:ascii="Times New Roman" w:hAnsi="Times New Roman"/>
          <w:sz w:val="20"/>
        </w:rPr>
        <w:t xml:space="preserve"> measurements within the fair value hierarchy. The fair value estimate of the warrants was based on a Monte-Carlo simulation model. Inherent in a Monte-Carlo simulation model are assumptions related to price, volatility, risk-free interest rate, term to expiration, and dividend yield. Changes in fair value were recognized in other income (expense) for each reporting period. Derivative Warrant Liability was included within other noncurrent liabilities on the condensed consolidated balance sheets. These warrants were cancelled on </w:t>
      </w:r>
      <w:r>
        <w:rPr>
          <w:rStyle w:val="Emphasis"/>
          <w:rFonts w:ascii="Times New Roman" w:hAnsi="Times New Roman"/>
          <w:sz w:val="20"/>
        </w:rPr>
        <w:t>July 28,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2025,</w:t>
      </w:r>
      <w:r>
        <w:rPr>
          <w:rFonts w:ascii="Times New Roman" w:hAnsi="Times New Roman"/>
          <w:caps w:val="false"/>
          <w:smallCaps w:val="false"/>
          <w:sz w:val="20"/>
        </w:rPr>
        <w:t xml:space="preserve"> the Company entered into a convertible note agreement with a face value of $3,000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The Company issued a warrant to purchase up to 805,263 shares of the Company’s common stock. The warrant was recorded on the accompanying consolidated balance sheet at fair value. The fair value was based on unobservable inputs, which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within the fair value hierarchy. The fair value estimate of the warrants was based on a Black-Scholes model. Inherent in a Black-Scholes model are assumptions related to price, volatility, risk-free interest rate, term to expiration, and dividend yield. Changes in fair value were recognized in other income (expense) for each reporting period. Derivative Warrant Liability was included within other noncurrent liabilities on the condensed consolidated balance sheets. These warrants were exercised in full on </w:t>
      </w:r>
      <w:r>
        <w:rPr>
          <w:rStyle w:val="Emphasis"/>
          <w:rFonts w:ascii="Times New Roman" w:hAnsi="Times New Roman"/>
          <w:caps w:val="false"/>
          <w:smallCaps w:val="false"/>
          <w:sz w:val="20"/>
        </w:rPr>
        <w:t>July 28,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August 2025,</w:t>
      </w:r>
      <w:r>
        <w:rPr>
          <w:rFonts w:ascii="Times New Roman" w:hAnsi="Times New Roman"/>
          <w:caps w:val="false"/>
          <w:smallCaps w:val="false"/>
          <w:sz w:val="20"/>
        </w:rPr>
        <w:t xml:space="preserve"> in connection with the lease settlement (see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for details of the settlement), the Company issued warrants, which are recorded on the accompanying condensed consolidated balance sheets at fair value. The fair value is based on unobservable inputs, which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within the fair value hierarchy. The fair value estimate of the warrants was based on a Black-Scholes model. Inherent in a Black-Scholes model are assumptions related to price, volatility, risk-free interest rate, term to expiration, and dividend yield. Changes in fair value are recognized in other income (expense) for each reporting period. Derivative Warrant Liability is included within other noncurrent liabilities on the condensed consolidated balance sheets.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i/>
          <w:caps w:val="false"/>
          <w:smallCaps w:val="false"/>
          <w:sz w:val="20"/>
        </w:rPr>
        <w:t>Private Placement Warrant Liability</w:t>
      </w:r>
      <w:r>
        <w:rPr>
          <w:rFonts w:ascii="Times New Roman" w:hAnsi="Times New Roman"/>
          <w:caps w:val="false"/>
          <w:smallCaps w:val="false"/>
          <w:sz w:val="20"/>
        </w:rPr>
        <w:t xml:space="preserve">: The warrants originally issued in connection with the initial public offering of CF Finance Acquisition Corp. III (the “Private Placement Warrants”) are recorded on the condensed consolidated balance sheets at fair value. The fair value is based on observable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specifically, the observable input of the Company's public warrants, as terms of both warrants are substantially similar. Any changes in the fair value of the liability are reflected in other income (expense), net, on the condensed consolidated statements of operations and comprehensive loss. Private Placement Warrant liability is included within other noncurrent liabilities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between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a summary of the changes in fair value of the Company’s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financial instruments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5105"/>
        <w:gridCol w:w="60"/>
        <w:gridCol w:w="606"/>
        <w:gridCol w:w="1919"/>
        <w:gridCol w:w="80"/>
      </w:tblGrid>
      <w:tr>
        <w:trPr/>
        <w:tc>
          <w:tcPr>
            <w:tcW w:w="51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Derivative Warrant Liabilities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left"/>
              <w:rPr>
                <w:sz w:val="20"/>
              </w:rPr>
            </w:pPr>
            <w:r>
              <w:rPr>
                <w:sz w:val="20"/>
              </w:rPr>
              <w:t>$</w:t>
            </w:r>
          </w:p>
        </w:tc>
        <w:tc>
          <w:tcPr>
            <w:tcW w:w="1919" w:type="dxa"/>
            <w:tcBorders/>
            <w:shd w:fill="CCEEFF" w:val="clear"/>
            <w:vAlign w:val="center"/>
          </w:tcPr>
          <w:p>
            <w:pPr>
              <w:pStyle w:val="TableContents"/>
              <w:bidi w:val="0"/>
              <w:spacing w:before="0" w:after="283"/>
              <w:ind w:left="0" w:right="0" w:hanging="0"/>
              <w:jc w:val="right"/>
              <w:rPr>
                <w:sz w:val="20"/>
              </w:rPr>
            </w:pPr>
            <w:r>
              <w:rPr>
                <w:sz w:val="20"/>
              </w:rPr>
              <w:t>560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included in other income (expense), net</w:t>
            </w:r>
          </w:p>
        </w:tc>
        <w:tc>
          <w:tcPr>
            <w:tcW w:w="60" w:type="dxa"/>
            <w:tcBorders/>
            <w:shd w:fill="FFFFFF" w:val="clear"/>
            <w:vAlign w:val="center"/>
          </w:tcPr>
          <w:p>
            <w:pPr>
              <w:pStyle w:val="TableContents"/>
              <w:bidi w:val="0"/>
              <w:spacing w:before="0" w:after="0"/>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411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The key inputs into the Black-Scholes model for the derivative warrant issued as a result of the lease settlement valued at </w:t>
      </w:r>
      <w:r>
        <w:rPr>
          <w:rStyle w:val="Emphasis"/>
          <w:rFonts w:ascii="Times New Roman" w:hAnsi="Times New Roman"/>
          <w:sz w:val="20"/>
        </w:rPr>
        <w:t xml:space="preserve"> June 30, 2026</w:t>
      </w:r>
      <w:r>
        <w:rPr>
          <w:rFonts w:ascii="Times New Roman" w:hAnsi="Times New Roman"/>
          <w:sz w:val="20"/>
        </w:rPr>
        <w:t> are as follows:</w:t>
      </w:r>
    </w:p>
    <w:p>
      <w:pPr>
        <w:pStyle w:val="TextBody"/>
        <w:bidi w:val="0"/>
        <w:spacing w:before="0" w:after="0"/>
        <w:ind w:left="0" w:right="0" w:firstLine="720"/>
        <w:jc w:val="left"/>
        <w:rPr/>
      </w:pPr>
      <w:r>
        <w:rPr/>
        <w:t> </w:t>
      </w:r>
    </w:p>
    <w:tbl>
      <w:tblPr>
        <w:tblW w:w="3209" w:type="dxa"/>
        <w:jc w:val="left"/>
        <w:tblInd w:w="0" w:type="dxa"/>
        <w:tblLayout w:type="fixed"/>
        <w:tblCellMar>
          <w:top w:w="0" w:type="dxa"/>
          <w:left w:w="0" w:type="dxa"/>
          <w:bottom w:w="0" w:type="dxa"/>
          <w:right w:w="0" w:type="dxa"/>
        </w:tblCellMar>
      </w:tblPr>
      <w:tblGrid>
        <w:gridCol w:w="1775"/>
        <w:gridCol w:w="60"/>
        <w:gridCol w:w="243"/>
        <w:gridCol w:w="946"/>
        <w:gridCol w:w="185"/>
      </w:tblGrid>
      <w:tr>
        <w:trPr/>
        <w:tc>
          <w:tcPr>
            <w:tcW w:w="17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(years)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1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factors or assumptions change, the estimated fair values could be materially different. The value of the Company’s derivative warrant liabilities would increase if a higher risk-free interest rate was used and would decrease if a lower risk-free interest rate was used. Similarly, a higher volatility assumption would increase the value of the liabilities, and a lower volatility assumption would decrease the value of the liabilities.</w:t>
      </w:r>
    </w:p>
    <w:p>
      <w:pPr>
        <w:pStyle w:val="TextBody"/>
        <w:bidi w:val="0"/>
        <w:spacing w:before="0" w:after="0"/>
        <w:ind w:left="0" w:right="0" w:firstLine="72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540" w:type="dxa"/>
        <w:jc w:val="left"/>
        <w:tblInd w:w="0" w:type="dxa"/>
        <w:tblLayout w:type="fixed"/>
        <w:tblCellMar>
          <w:top w:w="0" w:type="dxa"/>
          <w:left w:w="0" w:type="dxa"/>
          <w:bottom w:w="0" w:type="dxa"/>
          <w:right w:w="0" w:type="dxa"/>
        </w:tblCellMar>
      </w:tblPr>
      <w:tblGrid>
        <w:gridCol w:w="170"/>
        <w:gridCol w:w="137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Inventory, net of write-downs,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1640"/>
        <w:gridCol w:w="60"/>
        <w:gridCol w:w="243"/>
        <w:gridCol w:w="946"/>
        <w:gridCol w:w="60"/>
        <w:gridCol w:w="60"/>
        <w:gridCol w:w="329"/>
        <w:gridCol w:w="1280"/>
        <w:gridCol w:w="60"/>
      </w:tblGrid>
      <w:tr>
        <w:trPr/>
        <w:tc>
          <w:tcPr>
            <w:tcW w:w="16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6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in-process</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inventory, net</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70"/>
        <w:gridCol w:w="383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p>
        </w:tc>
        <w:tc>
          <w:tcPr>
            <w:tcW w:w="38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Prepaid and other current assets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088" w:type="dxa"/>
        <w:jc w:val="left"/>
        <w:tblInd w:w="0" w:type="dxa"/>
        <w:tblLayout w:type="fixed"/>
        <w:tblCellMar>
          <w:top w:w="0" w:type="dxa"/>
          <w:left w:w="0" w:type="dxa"/>
          <w:bottom w:w="0" w:type="dxa"/>
          <w:right w:w="0" w:type="dxa"/>
        </w:tblCellMar>
      </w:tblPr>
      <w:tblGrid>
        <w:gridCol w:w="3050"/>
        <w:gridCol w:w="60"/>
        <w:gridCol w:w="243"/>
        <w:gridCol w:w="946"/>
        <w:gridCol w:w="60"/>
        <w:gridCol w:w="60"/>
        <w:gridCol w:w="329"/>
        <w:gridCol w:w="1280"/>
        <w:gridCol w:w="60"/>
      </w:tblGrid>
      <w:tr>
        <w:trPr/>
        <w:tc>
          <w:tcPr>
            <w:tcW w:w="30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0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prepaid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720"/>
        <w:jc w:val="left"/>
        <w:rPr/>
      </w:pPr>
      <w:r>
        <w:rPr/>
        <w:t> </w:t>
      </w:r>
    </w:p>
    <w:tbl>
      <w:tblPr>
        <w:tblW w:w="940" w:type="dxa"/>
        <w:jc w:val="left"/>
        <w:tblInd w:w="0" w:type="dxa"/>
        <w:tblLayout w:type="fixed"/>
        <w:tblCellMar>
          <w:top w:w="0" w:type="dxa"/>
          <w:left w:w="0" w:type="dxa"/>
          <w:bottom w:w="0" w:type="dxa"/>
          <w:right w:w="0" w:type="dxa"/>
        </w:tblCellMar>
      </w:tblPr>
      <w:tblGrid>
        <w:gridCol w:w="170"/>
        <w:gridCol w:w="77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p>
        </w:tc>
        <w:tc>
          <w:tcPr>
            <w:tcW w:w="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leases office facilities in Northern California under non-cancelable operating leases. In </w:t>
      </w:r>
      <w:r>
        <w:rPr>
          <w:rStyle w:val="Emphasis"/>
          <w:rFonts w:ascii="Times New Roman" w:hAnsi="Times New Roman"/>
          <w:caps w:val="false"/>
          <w:smallCaps w:val="false"/>
          <w:sz w:val="20"/>
        </w:rPr>
        <w:t xml:space="preserve">July 2024, </w:t>
      </w:r>
      <w:r>
        <w:rPr>
          <w:rFonts w:ascii="Times New Roman" w:hAnsi="Times New Roman"/>
          <w:caps w:val="false"/>
          <w:smallCaps w:val="false"/>
          <w:sz w:val="20"/>
        </w:rPr>
        <w:t xml:space="preserve">the Company entered into two new long-term leases, one of which the Company uses as its headquarters. 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the Company entered into an agreement with the landlord to amend the existing operating lease at its corporate headquarters. The amendment added additional square footage, extended the lease term to </w:t>
      </w:r>
      <w:r>
        <w:rPr>
          <w:rStyle w:val="Emphasis"/>
          <w:rFonts w:ascii="Times New Roman" w:hAnsi="Times New Roman"/>
          <w:caps w:val="false"/>
          <w:smallCaps w:val="false"/>
          <w:sz w:val="20"/>
        </w:rPr>
        <w:t xml:space="preserve">February 28, 2029, </w:t>
      </w:r>
      <w:r>
        <w:rPr>
          <w:rFonts w:ascii="Times New Roman" w:hAnsi="Times New Roman"/>
          <w:caps w:val="false"/>
          <w:smallCaps w:val="false"/>
          <w:sz w:val="20"/>
        </w:rPr>
        <w:t>and included an option to renew with renewal terms that, if exercised by the Company, extends the lease term for an additional five years. The Company determined that the amendment represents a lease modification and remeasured its right-of-use asset and operating lease liability using an updated incremental borrowing rate as of the modification date. The Company recognized a $1,033 increase in its right-of-use asset and operating lease liability and no gain or loss was recognized as a result of the modification.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2024</w:t>
      </w:r>
      <w:r>
        <w:rPr>
          <w:rFonts w:ascii="Times New Roman" w:hAnsi="Times New Roman"/>
          <w:caps w:val="false"/>
          <w:smallCaps w:val="false"/>
          <w:sz w:val="20"/>
        </w:rPr>
        <w:t>, one of the Company's existing leases, originally set to expire on </w:t>
      </w:r>
      <w:r>
        <w:rPr>
          <w:rStyle w:val="Emphasis"/>
          <w:rFonts w:ascii="Times New Roman" w:hAnsi="Times New Roman"/>
          <w:caps w:val="false"/>
          <w:smallCaps w:val="false"/>
          <w:sz w:val="20"/>
        </w:rPr>
        <w:t xml:space="preserve"> November 30, 2026</w:t>
      </w:r>
      <w:r>
        <w:rPr>
          <w:rFonts w:ascii="Times New Roman" w:hAnsi="Times New Roman"/>
          <w:caps w:val="false"/>
          <w:smallCaps w:val="false"/>
          <w:sz w:val="20"/>
        </w:rPr>
        <w:t xml:space="preserve">, was terminated early. On </w:t>
      </w:r>
      <w:r>
        <w:rPr>
          <w:rStyle w:val="Emphasis"/>
          <w:rFonts w:ascii="Times New Roman" w:hAnsi="Times New Roman"/>
          <w:caps w:val="false"/>
          <w:smallCaps w:val="false"/>
          <w:sz w:val="20"/>
        </w:rPr>
        <w:t xml:space="preserve">April 28, 2025, </w:t>
      </w:r>
      <w:r>
        <w:rPr>
          <w:rFonts w:ascii="Times New Roman" w:hAnsi="Times New Roman"/>
          <w:caps w:val="false"/>
          <w:smallCaps w:val="false"/>
          <w:sz w:val="20"/>
        </w:rPr>
        <w:t xml:space="preserve">the Company and the former landlord entered into a settlement agreement to resolve all outstanding disputes related to the early termination of the lease. Under the terms of the agreement, the Company paid $1,400 in cash and issued a warrant to purchase up to 350,000 shares of the Company's common stock at an exercise price of $2.22 per share which had a fair value of $899 on the date of issuance in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The Company recorded a net gain on termination of operating lease of $1,612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All liabilities were settled in </w:t>
      </w:r>
      <w:r>
        <w:rPr>
          <w:rStyle w:val="Emphasis"/>
          <w:rFonts w:ascii="Times New Roman" w:hAnsi="Times New Roman"/>
          <w:caps w:val="false"/>
          <w:smallCaps w:val="false"/>
          <w:sz w:val="20"/>
        </w:rPr>
        <w:t>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components of operating lease expenses, excluding the gain (loss) on early termination of operating lease,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2195"/>
        <w:gridCol w:w="60"/>
        <w:gridCol w:w="325"/>
        <w:gridCol w:w="872"/>
        <w:gridCol w:w="156"/>
        <w:gridCol w:w="156"/>
        <w:gridCol w:w="325"/>
        <w:gridCol w:w="598"/>
        <w:gridCol w:w="60"/>
        <w:gridCol w:w="60"/>
        <w:gridCol w:w="267"/>
        <w:gridCol w:w="716"/>
        <w:gridCol w:w="128"/>
        <w:gridCol w:w="128"/>
        <w:gridCol w:w="267"/>
        <w:gridCol w:w="716"/>
        <w:gridCol w:w="60"/>
      </w:tblGrid>
      <w:tr>
        <w:trPr/>
        <w:tc>
          <w:tcPr>
            <w:tcW w:w="21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1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0"/>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5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28" w:type="dxa"/>
            <w:tcBorders/>
            <w:shd w:fill="CCEEFF" w:val="cle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shd w:fill="FFFFFF" w:val="clear"/>
            <w:vAlign w:val="center"/>
          </w:tcPr>
          <w:p>
            <w:pPr>
              <w:pStyle w:val="TableContents"/>
              <w:bidi w:val="0"/>
              <w:spacing w:before="0" w:after="0"/>
              <w:ind w:left="0" w:right="0" w:hanging="0"/>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lease cost</w:t>
            </w:r>
          </w:p>
        </w:tc>
        <w:tc>
          <w:tcPr>
            <w:tcW w:w="60" w:type="dxa"/>
            <w:tcBorders/>
            <w:shd w:fill="CCEEFF" w:val="clear"/>
            <w:vAlign w:val="center"/>
          </w:tcPr>
          <w:p>
            <w:pPr>
              <w:pStyle w:val="TableContents"/>
              <w:bidi w:val="0"/>
              <w:spacing w:before="0" w:after="0"/>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1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 w:type="dxa"/>
            <w:tcBorders/>
            <w:shd w:fill="CCEEFF" w:val="clear"/>
            <w:vAlign w:val="center"/>
          </w:tcPr>
          <w:p>
            <w:pPr>
              <w:pStyle w:val="TableContents"/>
              <w:bidi w:val="0"/>
              <w:spacing w:before="0" w:after="0"/>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Maturities of lease liabilities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4874" w:type="dxa"/>
        <w:jc w:val="left"/>
        <w:tblInd w:w="0" w:type="dxa"/>
        <w:tblLayout w:type="fixed"/>
        <w:tblCellMar>
          <w:top w:w="0" w:type="dxa"/>
          <w:left w:w="0" w:type="dxa"/>
          <w:bottom w:w="0" w:type="dxa"/>
          <w:right w:w="0" w:type="dxa"/>
        </w:tblCellMar>
      </w:tblPr>
      <w:tblGrid>
        <w:gridCol w:w="3335"/>
        <w:gridCol w:w="60"/>
        <w:gridCol w:w="286"/>
        <w:gridCol w:w="1113"/>
        <w:gridCol w:w="80"/>
      </w:tblGrid>
      <w:tr>
        <w:trPr/>
        <w:tc>
          <w:tcPr>
            <w:tcW w:w="3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 leases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Years ending - December 31:</w:t>
            </w:r>
          </w:p>
        </w:tc>
        <w:tc>
          <w:tcPr>
            <w:tcW w:w="60" w:type="dxa"/>
            <w:tcBorders/>
            <w:shd w:fill="FFFFFF" w:val="clear"/>
            <w:vAlign w:val="center"/>
          </w:tcPr>
          <w:p>
            <w:pPr>
              <w:pStyle w:val="TableContents"/>
              <w:bidi w:val="0"/>
              <w:spacing w:before="0" w:after="0"/>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(unaudited)</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0"/>
              <w:ind w:left="0" w:right="0" w:hanging="0"/>
              <w:jc w:val="left"/>
              <w:rPr/>
            </w:pPr>
            <w:r>
              <w:rPr/>
              <w:t> </w:t>
            </w:r>
          </w:p>
        </w:tc>
        <w:tc>
          <w:tcPr>
            <w:tcW w:w="286" w:type="dxa"/>
            <w:tcBorders/>
            <w:shd w:fill="FFFFFF" w:val="clear"/>
            <w:vAlign w:val="center"/>
          </w:tcPr>
          <w:p>
            <w:pPr>
              <w:pStyle w:val="TableContents"/>
              <w:bidi w:val="0"/>
              <w:spacing w:before="0" w:after="0"/>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to discount to present value</w:t>
            </w:r>
          </w:p>
        </w:tc>
        <w:tc>
          <w:tcPr>
            <w:tcW w:w="60" w:type="dxa"/>
            <w:tcBorders/>
            <w:shd w:fill="FFFFFF" w:val="clear"/>
            <w:vAlign w:val="center"/>
          </w:tcPr>
          <w:p>
            <w:pPr>
              <w:pStyle w:val="TableContents"/>
              <w:bidi w:val="0"/>
              <w:spacing w:before="0" w:after="0"/>
              <w:ind w:left="0" w:right="0" w:hanging="0"/>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6.</w:t>
            </w:r>
          </w:p>
        </w:tc>
        <w:tc>
          <w:tcPr>
            <w:tcW w:w="54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ACCRUED EXPENSES AND OTHER CURRENT LIABILITIES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Accrued expenses and other current liabilities as of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December 31, 2025</w:t>
      </w:r>
      <w:r>
        <w:rPr>
          <w:rFonts w:ascii="Times New Roman;Times;serif" w:hAnsi="Times New Roman;Times;serif"/>
          <w:sz w:val="20"/>
        </w:rPr>
        <w:t> are as follows (in thousands):</w:t>
      </w:r>
    </w:p>
    <w:p>
      <w:pPr>
        <w:pStyle w:val="TextBody"/>
        <w:bidi w:val="0"/>
        <w:spacing w:before="0" w:after="0"/>
        <w:ind w:left="0" w:right="0" w:hanging="0"/>
        <w:jc w:val="both"/>
        <w:rPr/>
      </w:pPr>
      <w:r>
        <w:rPr/>
        <w:t> </w:t>
      </w:r>
    </w:p>
    <w:tbl>
      <w:tblPr>
        <w:tblW w:w="7198" w:type="dxa"/>
        <w:jc w:val="left"/>
        <w:tblInd w:w="0" w:type="dxa"/>
        <w:tblLayout w:type="fixed"/>
        <w:tblCellMar>
          <w:top w:w="0" w:type="dxa"/>
          <w:left w:w="0" w:type="dxa"/>
          <w:bottom w:w="0" w:type="dxa"/>
          <w:right w:w="0" w:type="dxa"/>
        </w:tblCellMar>
      </w:tblPr>
      <w:tblGrid>
        <w:gridCol w:w="4160"/>
        <w:gridCol w:w="60"/>
        <w:gridCol w:w="243"/>
        <w:gridCol w:w="946"/>
        <w:gridCol w:w="60"/>
        <w:gridCol w:w="60"/>
        <w:gridCol w:w="329"/>
        <w:gridCol w:w="1280"/>
        <w:gridCol w:w="60"/>
      </w:tblGrid>
      <w:tr>
        <w:trPr/>
        <w:tc>
          <w:tcPr>
            <w:tcW w:w="41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bonuses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CONVERTIBLE NOTES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caps w:val="false"/>
          <w:smallCaps w:val="false"/>
          <w:sz w:val="20"/>
        </w:rPr>
        <w:t>2024</w:t>
      </w:r>
      <w:r>
        <w:rPr>
          <w:rFonts w:ascii="Times New Roman" w:hAnsi="Times New Roman"/>
          <w:b/>
          <w:caps w:val="false"/>
          <w:smallCaps w:val="false"/>
          <w:sz w:val="20"/>
        </w:rPr>
        <w:t xml:space="preserve"> Promissory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10, 2024</w:t>
      </w:r>
      <w:r>
        <w:rPr>
          <w:rFonts w:ascii="Times New Roman" w:hAnsi="Times New Roman"/>
          <w:caps w:val="false"/>
          <w:smallCaps w:val="false"/>
          <w:sz w:val="20"/>
        </w:rPr>
        <w:t>, the Company entered into a Securities Purchase Agreement with an investor for the sale and issuance of 330,823 shares of common stock and a 5-year promissory note with a principal balance of $146 (</w:t>
      </w:r>
      <w:r>
        <w:rPr>
          <w:rStyle w:val="Emphasis"/>
          <w:rFonts w:ascii="Times New Roman" w:hAnsi="Times New Roman"/>
          <w:caps w:val="false"/>
          <w:smallCaps w:val="false"/>
          <w:sz w:val="20"/>
        </w:rPr>
        <w:t xml:space="preserve"> “May 2024 </w:t>
      </w:r>
      <w:r>
        <w:rPr>
          <w:rFonts w:ascii="Times New Roman" w:hAnsi="Times New Roman"/>
          <w:caps w:val="false"/>
          <w:smallCaps w:val="false"/>
          <w:sz w:val="20"/>
        </w:rPr>
        <w:t xml:space="preserve">Note”) for total gross cash proceeds of $1,000. The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Note bears interest at an annual rate equal to the Secured Overnight Financing Rate plus 1.0%, which is compounded quarterly in arrears, and has a maturity date of </w:t>
      </w:r>
      <w:r>
        <w:rPr>
          <w:rStyle w:val="Emphasis"/>
          <w:rFonts w:ascii="Times New Roman" w:hAnsi="Times New Roman"/>
          <w:caps w:val="false"/>
          <w:smallCaps w:val="false"/>
          <w:sz w:val="20"/>
        </w:rPr>
        <w:t xml:space="preserve"> June 4, 2029</w:t>
      </w:r>
      <w:r>
        <w:rPr>
          <w:rFonts w:ascii="Times New Roman" w:hAnsi="Times New Roman"/>
          <w:caps w:val="false"/>
          <w:smallCaps w:val="false"/>
          <w:sz w:val="20"/>
        </w:rPr>
        <w:t xml:space="preserve">. At maturity, the principal balance and accrued, unpaid and uncapitalized interest can be settled in cash, shares of common stock based on the closing price of the common stock as of the immediately preceding trading day, or any combination of the foregoing at the option of the investor. </w:t>
      </w:r>
      <w:r>
        <w:rPr>
          <w:rFonts w:cs="Times New Roman"/>
          <w:caps w:val="false"/>
          <w:smallCaps w:val="false"/>
          <w:szCs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2025</w:t>
      </w:r>
      <w:r>
        <w:rPr>
          <w:rFonts w:ascii="Times New Roman" w:hAnsi="Times New Roman"/>
          <w:b/>
          <w:caps w:val="false"/>
          <w:smallCaps w:val="false"/>
          <w:sz w:val="20"/>
        </w:rPr>
        <w:t xml:space="preserve"> Convertible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2025,</w:t>
      </w:r>
      <w:r>
        <w:rPr>
          <w:rFonts w:ascii="Times New Roman" w:hAnsi="Times New Roman"/>
          <w:caps w:val="false"/>
          <w:smallCaps w:val="false"/>
          <w:sz w:val="20"/>
        </w:rPr>
        <w:t xml:space="preserve"> the Company entered into a Securities Purchase Agreement with a certain institutional investor and issued (i)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for an aggregate principal amount of $3,240 for an aggregate purchase price of $3,000 and (ii) a warrant to purchase up to 805,263 shares of the Company’s common stock.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subject to an original issue discount of 7.4%, had a term of eighteen months and accrued interest at the rate of 7% per annum. The interest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settled in cash or shares at the option of the Company and is payable together with monthly redemptions of the outstanding principal amount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was convertible into Common Stock, at a per share conversion price equal to $2.22, subject to adjustments noted in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Note.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Monthly redemptions began in </w:t>
      </w:r>
      <w:r>
        <w:rPr>
          <w:rStyle w:val="Emphasis"/>
          <w:rFonts w:ascii="Times New Roman" w:hAnsi="Times New Roman"/>
          <w:caps w:val="false"/>
          <w:smallCaps w:val="false"/>
          <w:sz w:val="20"/>
        </w:rPr>
        <w:t xml:space="preserve"> April 2025 </w:t>
      </w:r>
      <w:r>
        <w:rPr>
          <w:rFonts w:ascii="Times New Roman" w:hAnsi="Times New Roman"/>
          <w:caps w:val="false"/>
          <w:smallCaps w:val="false"/>
          <w:sz w:val="20"/>
        </w:rPr>
        <w:t>and were due on the </w:t>
      </w:r>
      <w:r>
        <w:rPr>
          <w:rStyle w:val="Emphasis"/>
          <w:rFonts w:ascii="Times New Roman" w:hAnsi="Times New Roman"/>
          <w:caps w:val="false"/>
          <w:smallCaps w:val="false"/>
          <w:sz w:val="20"/>
        </w:rPr>
        <w:t>first</w:t>
      </w:r>
      <w:r>
        <w:rPr>
          <w:rFonts w:ascii="Times New Roman" w:hAnsi="Times New Roman"/>
          <w:caps w:val="false"/>
          <w:smallCaps w:val="false"/>
          <w:sz w:val="20"/>
        </w:rPr>
        <w:t> of each subsequent month (each a "Monthly Redemption Date" or an "Installment Date"). The Company was required to redeem the Monthly Redemption Amount until the </w:t>
      </w:r>
      <w:r>
        <w:rPr>
          <w:rStyle w:val="Emphasis"/>
          <w:rFonts w:ascii="Times New Roman" w:hAnsi="Times New Roman"/>
          <w:caps w:val="false"/>
          <w:smallCaps w:val="false"/>
          <w:sz w:val="20"/>
        </w:rPr>
        <w:t>2025</w:t>
      </w:r>
      <w:r>
        <w:rPr>
          <w:rFonts w:ascii="Times New Roman" w:hAnsi="Times New Roman"/>
          <w:caps w:val="false"/>
          <w:smallCaps w:val="false"/>
          <w:sz w:val="20"/>
        </w:rPr>
        <w:t> Note was fully redeemed, paid in cash or, so long as certain equity conditions are met, shares of our common stock. The investor was permitted to accelerate up to </w:t>
      </w:r>
      <w:r>
        <w:rPr>
          <w:rStyle w:val="Emphasis"/>
          <w:rFonts w:ascii="Times New Roman" w:hAnsi="Times New Roman"/>
          <w:caps w:val="false"/>
          <w:smallCaps w:val="false"/>
          <w:sz w:val="20"/>
        </w:rPr>
        <w:t>one</w:t>
      </w:r>
      <w:r>
        <w:rPr>
          <w:rFonts w:ascii="Times New Roman" w:hAnsi="Times New Roman"/>
          <w:caps w:val="false"/>
          <w:smallCaps w:val="false"/>
          <w:sz w:val="20"/>
        </w:rPr>
        <w:t> Monthly Installment Amount, between Installment Dates.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rPr>
        <w:t>The Company elected to apply the fair value option to the measurement of the </w:t>
      </w:r>
      <w:r>
        <w:rPr>
          <w:rStyle w:val="Emphasis"/>
          <w:rFonts w:ascii="Times New Roman;Times;serif" w:hAnsi="Times New Roman;Times;serif"/>
          <w:sz w:val="20"/>
        </w:rPr>
        <w:t>2025</w:t>
      </w:r>
      <w:r>
        <w:rPr>
          <w:rFonts w:ascii="Times New Roman;Times;serif" w:hAnsi="Times New Roman;Times;serif"/>
          <w:sz w:val="20"/>
        </w:rPr>
        <w:t> Note. As a result of adopting the fair value option, </w:t>
      </w:r>
      <w:r>
        <w:rPr>
          <w:rStyle w:val="Emphasis"/>
          <w:rFonts w:ascii="Times New Roman;Times;serif" w:hAnsi="Times New Roman;Times;serif"/>
          <w:sz w:val="20"/>
        </w:rPr>
        <w:t>no</w:t>
      </w:r>
      <w:r>
        <w:rPr>
          <w:rFonts w:ascii="Times New Roman;Times;serif" w:hAnsi="Times New Roman;Times;serif"/>
          <w:sz w:val="20"/>
        </w:rPr>
        <w:t> embedded derivatives are bifurcated from the </w:t>
      </w:r>
      <w:r>
        <w:rPr>
          <w:rStyle w:val="Emphasis"/>
          <w:rFonts w:ascii="Times New Roman;Times;serif" w:hAnsi="Times New Roman;Times;serif"/>
          <w:sz w:val="20"/>
        </w:rPr>
        <w:t>2025</w:t>
      </w:r>
      <w:r>
        <w:rPr>
          <w:rFonts w:ascii="Times New Roman;Times;serif" w:hAnsi="Times New Roman;Times;serif"/>
          <w:sz w:val="20"/>
        </w:rPr>
        <w:t> Note. The Company classified the </w:t>
      </w:r>
      <w:r>
        <w:rPr>
          <w:rStyle w:val="Emphasis"/>
          <w:rFonts w:ascii="Times New Roman;Times;serif" w:hAnsi="Times New Roman;Times;serif"/>
          <w:sz w:val="20"/>
        </w:rPr>
        <w:t>2025</w:t>
      </w:r>
      <w:r>
        <w:rPr>
          <w:rFonts w:ascii="Times New Roman;Times;serif" w:hAnsi="Times New Roman;Times;serif"/>
          <w:sz w:val="20"/>
        </w:rPr>
        <w:t> Note as a liability at fair value and remeasured the </w:t>
      </w:r>
      <w:r>
        <w:rPr>
          <w:rStyle w:val="Emphasis"/>
          <w:rFonts w:ascii="Times New Roman;Times;serif" w:hAnsi="Times New Roman;Times;serif"/>
          <w:sz w:val="20"/>
        </w:rPr>
        <w:t>2025</w:t>
      </w:r>
      <w:r>
        <w:rPr>
          <w:rFonts w:ascii="Times New Roman;Times;serif" w:hAnsi="Times New Roman;Times;serif"/>
          <w:sz w:val="20"/>
        </w:rPr>
        <w:t> Note to fair value at each reporting period. The total proceeds received from the investor of $3,000 was allocated between the </w:t>
      </w:r>
      <w:r>
        <w:rPr>
          <w:rStyle w:val="Emphasis"/>
          <w:rFonts w:ascii="Times New Roman;Times;serif" w:hAnsi="Times New Roman;Times;serif"/>
          <w:sz w:val="20"/>
        </w:rPr>
        <w:t>2025</w:t>
      </w:r>
      <w:r>
        <w:rPr>
          <w:rFonts w:ascii="Times New Roman;Times;serif" w:hAnsi="Times New Roman;Times;serif"/>
          <w:sz w:val="20"/>
        </w:rPr>
        <w:t> Note and the related warrants issued using the relative fair value method at issuance date. This resulted in an initial fair value of $3,266 being allocated to the </w:t>
      </w:r>
      <w:r>
        <w:rPr>
          <w:rStyle w:val="Emphasis"/>
          <w:rFonts w:ascii="Times New Roman;Times;serif" w:hAnsi="Times New Roman;Times;serif"/>
          <w:sz w:val="20"/>
        </w:rPr>
        <w:t>2025</w:t>
      </w:r>
      <w:r>
        <w:rPr>
          <w:rFonts w:ascii="Times New Roman;Times;serif" w:hAnsi="Times New Roman;Times;serif"/>
          <w:sz w:val="20"/>
        </w:rPr>
        <w:t> Note, and $1,046 allocated to the associated warrants. The Company recorded a non-cash issuance cost of $1,312, representing the difference between the fair value and proceeds received, within Interest expense and other on the condensed consolidated statement of operations. The fair value measurement included the assumption of accrued interest and expense and thus a separate amount was </w:t>
      </w:r>
      <w:r>
        <w:rPr>
          <w:rStyle w:val="Emphasis"/>
          <w:rFonts w:ascii="Times New Roman;Times;serif" w:hAnsi="Times New Roman;Times;serif"/>
          <w:sz w:val="20"/>
        </w:rPr>
        <w:t>not</w:t>
      </w:r>
      <w:r>
        <w:rPr>
          <w:rFonts w:ascii="Times New Roman;Times;serif" w:hAnsi="Times New Roman;Times;serif"/>
          <w:sz w:val="20"/>
        </w:rPr>
        <w:t> reflected on the condensed consolidated statement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During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made cash payments of $989. Additionally, $2,591 in aggregate principal and interest were converted into 2,405,573 shares of common stock.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 </w:t>
      </w:r>
      <w:r>
        <w:rPr>
          <w:rStyle w:val="Emphasis"/>
          <w:rFonts w:ascii="Times New Roman" w:hAnsi="Times New Roman"/>
          <w:caps w:val="false"/>
          <w:smallCaps w:val="false"/>
          <w:sz w:val="20"/>
        </w:rPr>
        <w:t>2025</w:t>
      </w:r>
      <w:r>
        <w:rPr>
          <w:rFonts w:ascii="Times New Roman" w:hAnsi="Times New Roman"/>
          <w:caps w:val="false"/>
          <w:smallCaps w:val="false"/>
          <w:sz w:val="20"/>
        </w:rPr>
        <w:t> Note was fully repaid and all associated warrants were fully exercised.</w:t>
      </w:r>
    </w:p>
    <w:p>
      <w:pPr>
        <w:pStyle w:val="TextBody"/>
        <w:bidi w:val="0"/>
        <w:spacing w:before="0" w:after="0"/>
        <w:ind w:left="0" w:right="0" w:firstLine="72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70"/>
        <w:gridCol w:w="315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31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 AND OTHER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Interest expense and other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consisted of the following (in thousands):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23"/>
        <w:gridCol w:w="60"/>
        <w:gridCol w:w="248"/>
        <w:gridCol w:w="786"/>
        <w:gridCol w:w="158"/>
        <w:gridCol w:w="119"/>
        <w:gridCol w:w="248"/>
        <w:gridCol w:w="666"/>
        <w:gridCol w:w="80"/>
        <w:gridCol w:w="60"/>
        <w:gridCol w:w="203"/>
        <w:gridCol w:w="645"/>
        <w:gridCol w:w="130"/>
        <w:gridCol w:w="98"/>
        <w:gridCol w:w="203"/>
        <w:gridCol w:w="792"/>
        <w:gridCol w:w="86"/>
      </w:tblGrid>
      <w:tr>
        <w:trPr/>
        <w:tc>
          <w:tcPr>
            <w:tcW w:w="562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62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purchase agreements costs</w:t>
            </w:r>
          </w:p>
        </w:tc>
        <w:tc>
          <w:tcPr>
            <w:tcW w:w="60"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5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30"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248" w:type="dxa"/>
            <w:tcBorders/>
            <w:shd w:fill="FFFFFF" w:val="clear"/>
            <w:vAlign w:val="center"/>
          </w:tcPr>
          <w:p>
            <w:pPr>
              <w:pStyle w:val="TableContents"/>
              <w:bidi w:val="0"/>
              <w:spacing w:before="0" w:after="0"/>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pPr>
            <w:r>
              <w:rPr/>
              <w:t>—</w:t>
            </w:r>
          </w:p>
        </w:tc>
        <w:tc>
          <w:tcPr>
            <w:tcW w:w="15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8" w:type="dxa"/>
            <w:tcBorders/>
            <w:shd w:fill="FFFFFF" w:val="clear"/>
            <w:vAlign w:val="center"/>
          </w:tcPr>
          <w:p>
            <w:pPr>
              <w:pStyle w:val="TableContents"/>
              <w:bidi w:val="0"/>
              <w:spacing w:before="0" w:after="0"/>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shd w:fill="FFFFFF" w:val="clear"/>
            <w:vAlign w:val="center"/>
          </w:tcPr>
          <w:p>
            <w:pPr>
              <w:pStyle w:val="TableContents"/>
              <w:bidi w:val="0"/>
              <w:spacing w:before="0" w:after="0"/>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pPr>
            <w:r>
              <w:rPr/>
              <w:t>—</w:t>
            </w:r>
          </w:p>
        </w:tc>
        <w:tc>
          <w:tcPr>
            <w:tcW w:w="130"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premiums (accretion of discounts) on marketable securities, net</w:t>
            </w:r>
          </w:p>
        </w:tc>
        <w:tc>
          <w:tcPr>
            <w:tcW w:w="60"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248" w:type="dxa"/>
            <w:tcBorders/>
            <w:shd w:fill="FFFFFF" w:val="clear"/>
            <w:vAlign w:val="center"/>
          </w:tcPr>
          <w:p>
            <w:pPr>
              <w:pStyle w:val="TableContents"/>
              <w:bidi w:val="0"/>
              <w:spacing w:before="0" w:after="0"/>
              <w:ind w:left="0" w:right="0" w:hanging="0"/>
              <w:jc w:val="left"/>
              <w:rPr/>
            </w:pPr>
            <w:r>
              <w:rPr/>
              <w:t> </w:t>
            </w:r>
          </w:p>
        </w:tc>
        <w:tc>
          <w:tcPr>
            <w:tcW w:w="786" w:type="dxa"/>
            <w:tcBorders/>
            <w:shd w:fill="FFFFFF" w:val="clear"/>
            <w:vAlign w:val="center"/>
          </w:tcPr>
          <w:p>
            <w:pPr>
              <w:pStyle w:val="TableContents"/>
              <w:bidi w:val="0"/>
              <w:spacing w:before="0" w:after="283"/>
              <w:jc w:val="right"/>
              <w:rPr/>
            </w:pPr>
            <w:r>
              <w:rPr/>
              <w:t>—</w:t>
            </w:r>
          </w:p>
        </w:tc>
        <w:tc>
          <w:tcPr>
            <w:tcW w:w="15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8" w:type="dxa"/>
            <w:tcBorders/>
            <w:shd w:fill="FFFFFF" w:val="clear"/>
            <w:vAlign w:val="center"/>
          </w:tcPr>
          <w:p>
            <w:pPr>
              <w:pStyle w:val="TableContents"/>
              <w:bidi w:val="0"/>
              <w:spacing w:before="0" w:after="0"/>
              <w:ind w:left="0" w:right="0" w:hanging="0"/>
              <w:jc w:val="left"/>
              <w:rPr/>
            </w:pPr>
            <w:r>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shd w:fill="FFFFFF" w:val="clear"/>
            <w:vAlign w:val="center"/>
          </w:tcPr>
          <w:p>
            <w:pPr>
              <w:pStyle w:val="TableContents"/>
              <w:bidi w:val="0"/>
              <w:spacing w:before="0" w:after="0"/>
              <w:ind w:left="0" w:right="0" w:hanging="0"/>
              <w:jc w:val="left"/>
              <w:rPr/>
            </w:pPr>
            <w:r>
              <w:rPr/>
              <w:t> </w:t>
            </w:r>
          </w:p>
        </w:tc>
        <w:tc>
          <w:tcPr>
            <w:tcW w:w="645"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3" w:type="dxa"/>
            <w:tcBorders/>
            <w:shd w:fill="FFFFFF" w:val="clear"/>
            <w:vAlign w:val="center"/>
          </w:tcPr>
          <w:p>
            <w:pPr>
              <w:pStyle w:val="TableContents"/>
              <w:bidi w:val="0"/>
              <w:spacing w:before="0" w:after="0"/>
              <w:ind w:left="0" w:right="0" w:hanging="0"/>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gains (losses)</w:t>
            </w:r>
          </w:p>
        </w:tc>
        <w:tc>
          <w:tcPr>
            <w:tcW w:w="60"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and other</w:t>
            </w:r>
          </w:p>
        </w:tc>
        <w:tc>
          <w:tcPr>
            <w:tcW w:w="60" w:type="dxa"/>
            <w:tcBorders/>
            <w:shd w:fill="CCEEFF" w:val="clear"/>
            <w:vAlign w:val="center"/>
          </w:tcPr>
          <w:p>
            <w:pPr>
              <w:pStyle w:val="TableContents"/>
              <w:bidi w:val="0"/>
              <w:spacing w:before="0" w:after="0"/>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0"/>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00"/>
        <w:gridCol w:w="3125"/>
      </w:tblGrid>
      <w:tr>
        <w:trPr/>
        <w:tc>
          <w:tcPr>
            <w:tcW w:w="200" w:type="dxa"/>
            <w:tcBorders/>
            <w:vAlign w:val="center"/>
          </w:tcPr>
          <w:p>
            <w:pPr>
              <w:pStyle w:val="TableContents"/>
              <w:bidi w:val="0"/>
              <w:spacing w:before="0" w:after="283"/>
              <w:jc w:val="left"/>
              <w:rPr/>
            </w:pPr>
            <w:r>
              <w:rPr>
                <w:rStyle w:val="Emphasis"/>
                <w:b/>
              </w:rPr>
              <w:t>9.</w:t>
            </w:r>
          </w:p>
        </w:tc>
        <w:tc>
          <w:tcPr>
            <w:tcW w:w="3125" w:type="dxa"/>
            <w:tcBorders/>
            <w:vAlign w:val="center"/>
          </w:tcPr>
          <w:p>
            <w:pPr>
              <w:pStyle w:val="TableContents"/>
              <w:bidi w:val="0"/>
              <w:spacing w:before="0" w:after="283"/>
              <w:jc w:val="left"/>
              <w:rPr>
                <w:b/>
              </w:rPr>
            </w:pPr>
            <w:r>
              <w:rPr>
                <w:b/>
              </w:rPr>
              <w:t>STOCKHOLDERS' EQUITY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New Circle Principal Investments LLC (</w:t>
      </w:r>
      <w:r>
        <w:rPr>
          <w:rFonts w:ascii="Times New Roman;Times;serif" w:hAnsi="Times New Roman;Times;serif"/>
          <w:sz w:val="20"/>
        </w:rPr>
        <w:t>“</w:t>
      </w:r>
      <w:r>
        <w:rPr>
          <w:rFonts w:ascii="Times New Roman;Times;serif" w:hAnsi="Times New Roman;Times;serif"/>
          <w:b/>
          <w:sz w:val="20"/>
        </w:rPr>
        <w:t>New Circle</w:t>
      </w:r>
      <w:r>
        <w:rPr>
          <w:rFonts w:ascii="Times New Roman;Times;serif" w:hAnsi="Times New Roman;Times;serif"/>
          <w:sz w:val="20"/>
        </w:rPr>
        <w:t>”</w:t>
      </w:r>
      <w:r>
        <w:rPr>
          <w:rFonts w:ascii="Times New Roman;Times;serif" w:hAnsi="Times New Roman;Times;serif"/>
          <w:b/>
          <w:sz w:val="20"/>
        </w:rPr>
        <w:t xml:space="preserve">) Common Stock Purchase Agreement (the </w:t>
      </w:r>
      <w:r>
        <w:rPr>
          <w:rFonts w:ascii="Times New Roman;Times;serif" w:hAnsi="Times New Roman;Times;serif"/>
          <w:sz w:val="20"/>
        </w:rPr>
        <w:t>“</w:t>
      </w:r>
      <w:r>
        <w:rPr>
          <w:rFonts w:ascii="Times New Roman;Times;serif" w:hAnsi="Times New Roman;Times;serif"/>
          <w:b/>
          <w:sz w:val="20"/>
        </w:rPr>
        <w:t>CSPA</w:t>
      </w:r>
      <w:r>
        <w:rPr>
          <w:rFonts w:ascii="Times New Roman;Times;serif" w:hAnsi="Times New Roman;Times;serif"/>
          <w:sz w:val="20"/>
        </w:rPr>
        <w:t>”</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25, 2024</w:t>
      </w:r>
      <w:r>
        <w:rPr>
          <w:rFonts w:ascii="Times New Roman" w:hAnsi="Times New Roman"/>
          <w:caps w:val="false"/>
          <w:smallCaps w:val="false"/>
          <w:sz w:val="20"/>
        </w:rPr>
        <w:t xml:space="preserve">, the Company entered into a CSPA and a Registration Rights Agreement with New Circle. Under the terms and subject to the conditions of the CSPA, the Company had the right,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obligation, to sell to New Circle, and New Circle was obligated to purchase from the Company, up to the lesser of (i) $50,000 of the Company’s common stock, or (ii) the Exchange Cap equal to 1,721,755 shares of the Company's common stock, unless the Company’s stockholders approved the issuance of shares in excess of the Exchange Cap, or the average price of all applicable sales of common stock to New Circle equals or exceeds $1.41 per share. The Company had sole discretion to initiate such sales of common stock over a period of 36 months. In all instances,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sell shares of its common stock to New Circle under the CSPA if doing so would result in New Circle beneficially owning more than 4.99% of the Company's common stock.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The purchase price per share to be purchased by New Circle would equal either (i) the lowest volume-weighted average price for common stock either over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-day trading period or 15 minutes after the number of intraday shares traded exceeds </w:t>
      </w:r>
      <w:r>
        <w:rPr>
          <w:rStyle w:val="Emphasis"/>
          <w:rFonts w:ascii="Times New Roman" w:hAnsi="Times New Roman"/>
          <w:caps w:val="false"/>
          <w:smallCaps w:val="false"/>
          <w:sz w:val="20"/>
        </w:rPr>
        <w:t>500%</w:t>
      </w:r>
      <w:r>
        <w:rPr>
          <w:rFonts w:ascii="Times New Roman" w:hAnsi="Times New Roman"/>
          <w:caps w:val="false"/>
          <w:smallCaps w:val="false"/>
          <w:sz w:val="20"/>
        </w:rPr>
        <w:t xml:space="preserve"> of the shares included in the purchase notice 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hour after the receipt of the purchase notice, or (ii) the volume-weighted average price for common stock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consecutive trading days commencing on the purchase notice date multiplied by 97.5%. The maximum number of shares the Company could sell to New Circle on any single business day was the lesser of (i) the number of shares equal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average daily trading volume of the common stock of the Company during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trading days immediately preceding the purchase notice, and (ii) 400,000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connection with the CSPA, the Company issued to New Circle 225,563 shares of common stock in the Company as commitment shares for the facility. The Company determined that the right to sell additional shares represented a freestanding put option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 and as such, the financial instrument was classified as a derivative asset with a fair value of </w:t>
      </w:r>
      <w:r>
        <w:rPr>
          <w:rStyle w:val="Emphasis"/>
          <w:rFonts w:ascii="Times New Roman" w:hAnsi="Times New Roman"/>
          <w:caps w:val="false"/>
          <w:smallCaps w:val="false"/>
          <w:sz w:val="20"/>
        </w:rPr>
        <w:t>zero</w:t>
      </w:r>
      <w:r>
        <w:rPr>
          <w:rFonts w:ascii="Times New Roman" w:hAnsi="Times New Roman"/>
          <w:caps w:val="false"/>
          <w:smallCaps w:val="false"/>
          <w:sz w:val="20"/>
        </w:rPr>
        <w:t> at inception of the CSPA on </w:t>
      </w:r>
      <w:r>
        <w:rPr>
          <w:rStyle w:val="Emphasis"/>
          <w:rFonts w:ascii="Times New Roman" w:hAnsi="Times New Roman"/>
          <w:caps w:val="false"/>
          <w:smallCaps w:val="false"/>
          <w:sz w:val="20"/>
        </w:rPr>
        <w:t xml:space="preserve"> July 25, 2024</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CSPA was terminated 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Prior to its termination, the Company issued 8,980,713 shares of its common stock, including commitment shares, for gross proceeds totaling $27,754, pursuant to the CSPA.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Alliance Global Partners (</w:t>
      </w:r>
      <w:r>
        <w:rPr>
          <w:rFonts w:ascii="Times New Roman" w:hAnsi="Times New Roman"/>
          <w:caps w:val="false"/>
          <w:smallCaps w:val="false"/>
          <w:sz w:val="20"/>
        </w:rPr>
        <w:t>“</w:t>
      </w:r>
      <w:r>
        <w:rPr>
          <w:rFonts w:ascii="Times New Roman" w:hAnsi="Times New Roman"/>
          <w:b/>
          <w:caps w:val="false"/>
          <w:smallCaps w:val="false"/>
          <w:sz w:val="20"/>
        </w:rPr>
        <w:t>A.G.P.</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At Market Issuance Sales Agreement (the </w:t>
      </w:r>
      <w:r>
        <w:rPr>
          <w:rFonts w:ascii="Times New Roman" w:hAnsi="Times New Roman"/>
          <w:caps w:val="false"/>
          <w:smallCaps w:val="false"/>
          <w:sz w:val="20"/>
        </w:rPr>
        <w:t>“</w:t>
      </w:r>
      <w:r>
        <w:rPr>
          <w:rFonts w:ascii="Times New Roman" w:hAnsi="Times New Roman"/>
          <w:b/>
          <w:caps w:val="false"/>
          <w:smallCaps w:val="false"/>
          <w:sz w:val="20"/>
        </w:rPr>
        <w:t>ATM Agreement</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12, 2024</w:t>
      </w:r>
      <w:r>
        <w:rPr>
          <w:rFonts w:ascii="Times New Roman" w:hAnsi="Times New Roman"/>
          <w:caps w:val="false"/>
          <w:smallCaps w:val="false"/>
          <w:sz w:val="20"/>
        </w:rPr>
        <w:t xml:space="preserve">, the Company entered into the ATM with A.G.P. Under the terms and subject to the conditions of the ATM Agreement,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issue and sell through A.G.P. the Company’s common stock having an aggregate value offering price of up to $2,600 ("Placement Shares") from time to time through an "at-the-market" equity offering program. The Company has sole discretion to initiate such sales of common stock over a period of 36 months. Under the terms and subject to the conditions of the ATM Agreement, the Company will set the parameters for the sale of shares, including the number or dollar amount of Placement Shares to be issued, the time period during which sales are requested to be made, any limitation on the number or dollar amount of Placement Shares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sold in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trading day and any minimum price below which sales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made. The Company will pay a cash commission rate of up to 3.0% of the gross proceeds from the sale of Placement Shares sold pursuant to the ATM Agreement. 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Company increased the amount of the Company's common stock that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issue and sell through A.G.P. under the ATM Agreement to a new aggregate value offering of up to $125,000, following multiple prior increases since the original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has sold 24,070,541 shares through A.G.P. under the ATM Agreement for gross proceeds totaling $70,412 through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remaining availability under the agreement is $54,588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75"/>
        <w:gridCol w:w="558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55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changes in accumulated other comprehensive income (loss) by component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8519" w:type="dxa"/>
        <w:jc w:val="left"/>
        <w:tblInd w:w="0" w:type="dxa"/>
        <w:tblLayout w:type="fixed"/>
        <w:tblCellMar>
          <w:top w:w="0" w:type="dxa"/>
          <w:left w:w="0" w:type="dxa"/>
          <w:bottom w:w="0" w:type="dxa"/>
          <w:right w:w="0" w:type="dxa"/>
        </w:tblCellMar>
      </w:tblPr>
      <w:tblGrid>
        <w:gridCol w:w="3725"/>
        <w:gridCol w:w="60"/>
        <w:gridCol w:w="1399"/>
        <w:gridCol w:w="3255"/>
        <w:gridCol w:w="80"/>
      </w:tblGrid>
      <w:tr>
        <w:trPr/>
        <w:tc>
          <w:tcPr>
            <w:tcW w:w="37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 (losses) on available-for-sale securities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3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2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13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399" w:type="dxa"/>
            <w:tcBorders/>
            <w:shd w:fill="FFFFFF" w:val="clear"/>
            <w:vAlign w:val="center"/>
          </w:tcPr>
          <w:p>
            <w:pPr>
              <w:pStyle w:val="TableContents"/>
              <w:bidi w:val="0"/>
              <w:spacing w:before="0" w:after="0"/>
              <w:ind w:left="0" w:right="0" w:hanging="0"/>
              <w:jc w:val="left"/>
              <w:rPr/>
            </w:pPr>
            <w:r>
              <w:rPr/>
              <w:t> </w:t>
            </w:r>
          </w:p>
        </w:tc>
        <w:tc>
          <w:tcPr>
            <w:tcW w:w="3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bottom w:val="double" w:sz="6"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519" w:type="dxa"/>
        <w:jc w:val="left"/>
        <w:tblInd w:w="0" w:type="dxa"/>
        <w:tblLayout w:type="fixed"/>
        <w:tblCellMar>
          <w:top w:w="0" w:type="dxa"/>
          <w:left w:w="0" w:type="dxa"/>
          <w:bottom w:w="0" w:type="dxa"/>
          <w:right w:w="0" w:type="dxa"/>
        </w:tblCellMar>
      </w:tblPr>
      <w:tblGrid>
        <w:gridCol w:w="3725"/>
        <w:gridCol w:w="60"/>
        <w:gridCol w:w="1508"/>
        <w:gridCol w:w="3146"/>
        <w:gridCol w:w="80"/>
      </w:tblGrid>
      <w:tr>
        <w:trPr/>
        <w:tc>
          <w:tcPr>
            <w:tcW w:w="37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 (losses) on available-for-sale securities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0"/>
              <w:ind w:left="0" w:right="0" w:hanging="0"/>
              <w:jc w:val="left"/>
              <w:rPr/>
            </w:pPr>
            <w:r>
              <w:rPr/>
              <w:t> </w:t>
            </w:r>
          </w:p>
        </w:tc>
        <w:tc>
          <w:tcPr>
            <w:tcW w:w="15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5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5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5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1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15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2380" w:type="dxa"/>
        <w:jc w:val="left"/>
        <w:tblInd w:w="0" w:type="dxa"/>
        <w:tblLayout w:type="fixed"/>
        <w:tblCellMar>
          <w:top w:w="0" w:type="dxa"/>
          <w:left w:w="0" w:type="dxa"/>
          <w:bottom w:w="0" w:type="dxa"/>
          <w:right w:w="0" w:type="dxa"/>
        </w:tblCellMar>
      </w:tblPr>
      <w:tblGrid>
        <w:gridCol w:w="275"/>
        <w:gridCol w:w="210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p>
        </w:tc>
        <w:tc>
          <w:tcPr>
            <w:tcW w:w="21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basic and diluted net loss per share attributable to common stockholders for the periods presented (in thousands, except share amounts and per share data):</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6"/>
        <w:gridCol w:w="60"/>
        <w:gridCol w:w="130"/>
        <w:gridCol w:w="999"/>
        <w:gridCol w:w="84"/>
        <w:gridCol w:w="62"/>
        <w:gridCol w:w="130"/>
        <w:gridCol w:w="999"/>
        <w:gridCol w:w="80"/>
        <w:gridCol w:w="60"/>
        <w:gridCol w:w="125"/>
        <w:gridCol w:w="950"/>
        <w:gridCol w:w="80"/>
        <w:gridCol w:w="60"/>
        <w:gridCol w:w="125"/>
        <w:gridCol w:w="950"/>
        <w:gridCol w:w="85"/>
      </w:tblGrid>
      <w:tr>
        <w:trPr/>
        <w:tc>
          <w:tcPr>
            <w:tcW w:w="522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22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2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52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stockholders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(17,286</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52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45,915,091</w:t>
            </w:r>
          </w:p>
        </w:tc>
        <w:tc>
          <w:tcPr>
            <w:tcW w:w="84"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19,125,970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45,414,113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18,137,050</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52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45,915,091</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19,125,970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45,414,113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18,137,050</w:t>
            </w:r>
          </w:p>
        </w:tc>
        <w:tc>
          <w:tcPr>
            <w:tcW w:w="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522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52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attributable to common stockholders - Basic and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Due to net losses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basic and diluted net loss per share were the same, as the effect of all potentially dilutive securities would have been anti-dilutive. The following table sets forth the anti-dilutive common share equivalents for the periods listed:</w:t>
      </w:r>
    </w:p>
    <w:p>
      <w:pPr>
        <w:pStyle w:val="TextBody"/>
        <w:bidi w:val="0"/>
        <w:spacing w:before="0" w:after="0"/>
        <w:ind w:left="0" w:right="0" w:hanging="0"/>
        <w:jc w:val="left"/>
        <w:rPr>
          <w:caps w:val="false"/>
          <w:smallCaps w:val="false"/>
        </w:rPr>
      </w:pPr>
      <w:r>
        <w:rPr>
          <w:caps w:val="false"/>
          <w:smallCaps w:val="false"/>
        </w:rPr>
        <w:t> </w:t>
      </w:r>
    </w:p>
    <w:tbl>
      <w:tblPr>
        <w:tblW w:w="6172" w:type="dxa"/>
        <w:jc w:val="left"/>
        <w:tblInd w:w="0" w:type="dxa"/>
        <w:tblLayout w:type="fixed"/>
        <w:tblCellMar>
          <w:top w:w="0" w:type="dxa"/>
          <w:left w:w="0" w:type="dxa"/>
          <w:bottom w:w="0" w:type="dxa"/>
          <w:right w:w="0" w:type="dxa"/>
        </w:tblCellMar>
      </w:tblPr>
      <w:tblGrid>
        <w:gridCol w:w="3830"/>
        <w:gridCol w:w="60"/>
        <w:gridCol w:w="62"/>
        <w:gridCol w:w="987"/>
        <w:gridCol w:w="62"/>
        <w:gridCol w:w="62"/>
        <w:gridCol w:w="62"/>
        <w:gridCol w:w="987"/>
        <w:gridCol w:w="60"/>
      </w:tblGrid>
      <w:tr>
        <w:trPr/>
        <w:tc>
          <w:tcPr>
            <w:tcW w:w="38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0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 issued and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118,363</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131,142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5,138,846</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747,470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611,110</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1,124,706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 Agreements</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37,908,218</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27,572,156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convertible note</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113,932</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1,790,955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48,743</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43,939,212</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31,384,942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p>
        </w:tc>
        <w:tc>
          <w:tcPr>
            <w:tcW w:w="30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Market-Based Restricted Stock Units</w:t>
      </w:r>
      <w:r>
        <w:rPr>
          <w:rFonts w:ascii="Times New Roman;Times;serif" w:hAnsi="Times New Roman;Times;serif"/>
          <w:sz w:val="20"/>
        </w:rPr>
        <w:t xml:space="preserve"> </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February 2026, </w:t>
      </w:r>
      <w:r>
        <w:rPr>
          <w:rFonts w:ascii="Times New Roman;Times;serif" w:hAnsi="Times New Roman;Times;serif"/>
          <w:sz w:val="20"/>
        </w:rPr>
        <w:t xml:space="preserve">the Board of Directors approved grants totaling 1,248,426 market-based RSUs to certain executive officers of the Company that vest based on the achievement of specified market conditions and continued service (the </w:t>
      </w:r>
      <w:r>
        <w:rPr>
          <w:rStyle w:val="Emphasis"/>
          <w:rFonts w:ascii="Times New Roman;Times;serif" w:hAnsi="Times New Roman;Times;serif"/>
          <w:sz w:val="20"/>
        </w:rPr>
        <w:t xml:space="preserve">“February 2026 </w:t>
      </w:r>
      <w:r>
        <w:rPr>
          <w:rFonts w:ascii="Times New Roman;Times;serif" w:hAnsi="Times New Roman;Times;serif"/>
          <w:sz w:val="20"/>
        </w:rPr>
        <w:t xml:space="preserve">PSU Awards”). In </w:t>
      </w:r>
      <w:r>
        <w:rPr>
          <w:rStyle w:val="Emphasis"/>
          <w:rFonts w:ascii="Times New Roman;Times;serif" w:hAnsi="Times New Roman;Times;serif"/>
          <w:sz w:val="20"/>
        </w:rPr>
        <w:t xml:space="preserve">June 2026, </w:t>
      </w:r>
      <w:r>
        <w:rPr>
          <w:rFonts w:ascii="Times New Roman;Times;serif" w:hAnsi="Times New Roman;Times;serif"/>
          <w:sz w:val="20"/>
        </w:rPr>
        <w:t xml:space="preserve">the Board of Directors approved additional grants totaling 1,800,000 market-based RSUs with the same vesting conditions (the </w:t>
      </w:r>
      <w:r>
        <w:rPr>
          <w:rStyle w:val="Emphasis"/>
          <w:rFonts w:ascii="Times New Roman;Times;serif" w:hAnsi="Times New Roman;Times;serif"/>
          <w:sz w:val="20"/>
        </w:rPr>
        <w:t xml:space="preserve">“June 2026 </w:t>
      </w:r>
      <w:r>
        <w:rPr>
          <w:rFonts w:ascii="Times New Roman;Times;serif" w:hAnsi="Times New Roman;Times;serif"/>
          <w:sz w:val="20"/>
        </w:rPr>
        <w:t xml:space="preserve">PSU Awards”).  Vesting occurs in increments of </w:t>
      </w:r>
      <w:r>
        <w:rPr>
          <w:rStyle w:val="Emphasis"/>
          <w:rFonts w:ascii="Times New Roman;Times;serif" w:hAnsi="Times New Roman;Times;serif"/>
          <w:sz w:val="20"/>
        </w:rPr>
        <w:t>one</w:t>
      </w:r>
      <w:r>
        <w:rPr>
          <w:rFonts w:ascii="Times New Roman;Times;serif" w:hAnsi="Times New Roman;Times;serif"/>
          <w:sz w:val="20"/>
        </w:rPr>
        <w:t xml:space="preserve">-third of the total grant when the closing price of the Company's common stock, as reported by NASDAQ, (i) meets or exceeds an average of </w:t>
      </w:r>
      <w:r>
        <w:rPr>
          <w:rStyle w:val="Emphasis"/>
          <w:rFonts w:ascii="Times New Roman;Times;serif" w:hAnsi="Times New Roman;Times;serif"/>
          <w:sz w:val="20"/>
        </w:rPr>
        <w:t>$3.00</w:t>
      </w:r>
      <w:r>
        <w:rPr>
          <w:rFonts w:ascii="Times New Roman;Times;serif" w:hAnsi="Times New Roman;Times;serif"/>
          <w:sz w:val="20"/>
        </w:rPr>
        <w:t xml:space="preserve"> per share for any </w:t>
      </w:r>
      <w:r>
        <w:rPr>
          <w:rStyle w:val="Emphasis"/>
          <w:rFonts w:ascii="Times New Roman;Times;serif" w:hAnsi="Times New Roman;Times;serif"/>
          <w:sz w:val="20"/>
        </w:rPr>
        <w:t>five</w:t>
      </w:r>
      <w:r>
        <w:rPr>
          <w:rFonts w:ascii="Times New Roman;Times;serif" w:hAnsi="Times New Roman;Times;serif"/>
          <w:sz w:val="20"/>
        </w:rPr>
        <w:t xml:space="preserve"> (</w:t>
      </w:r>
      <w:r>
        <w:rPr>
          <w:rStyle w:val="Emphasis"/>
          <w:rFonts w:ascii="Times New Roman;Times;serif" w:hAnsi="Times New Roman;Times;serif"/>
          <w:sz w:val="20"/>
        </w:rPr>
        <w:t>5</w:t>
      </w:r>
      <w:r>
        <w:rPr>
          <w:rFonts w:ascii="Times New Roman;Times;serif" w:hAnsi="Times New Roman;Times;serif"/>
          <w:sz w:val="20"/>
        </w:rPr>
        <w:t xml:space="preserve">) consecutive trading days, (ii) meets or exceeds an average of </w:t>
      </w:r>
      <w:r>
        <w:rPr>
          <w:rStyle w:val="Emphasis"/>
          <w:rFonts w:ascii="Times New Roman;Times;serif" w:hAnsi="Times New Roman;Times;serif"/>
          <w:sz w:val="20"/>
        </w:rPr>
        <w:t>$4.00</w:t>
      </w:r>
      <w:r>
        <w:rPr>
          <w:rFonts w:ascii="Times New Roman;Times;serif" w:hAnsi="Times New Roman;Times;serif"/>
          <w:sz w:val="20"/>
        </w:rPr>
        <w:t xml:space="preserve"> per share for any </w:t>
      </w:r>
      <w:r>
        <w:rPr>
          <w:rStyle w:val="Emphasis"/>
          <w:rFonts w:ascii="Times New Roman;Times;serif" w:hAnsi="Times New Roman;Times;serif"/>
          <w:sz w:val="20"/>
        </w:rPr>
        <w:t>five</w:t>
      </w:r>
      <w:r>
        <w:rPr>
          <w:rFonts w:ascii="Times New Roman;Times;serif" w:hAnsi="Times New Roman;Times;serif"/>
          <w:sz w:val="20"/>
        </w:rPr>
        <w:t xml:space="preserve"> (</w:t>
      </w:r>
      <w:r>
        <w:rPr>
          <w:rStyle w:val="Emphasis"/>
          <w:rFonts w:ascii="Times New Roman;Times;serif" w:hAnsi="Times New Roman;Times;serif"/>
          <w:sz w:val="20"/>
        </w:rPr>
        <w:t>5</w:t>
      </w:r>
      <w:r>
        <w:rPr>
          <w:rFonts w:ascii="Times New Roman;Times;serif" w:hAnsi="Times New Roman;Times;serif"/>
          <w:sz w:val="20"/>
        </w:rPr>
        <w:t xml:space="preserve">) consecutive trading days, and (iii) meets or exceeds an average of </w:t>
      </w:r>
      <w:r>
        <w:rPr>
          <w:rStyle w:val="Emphasis"/>
          <w:rFonts w:ascii="Times New Roman;Times;serif" w:hAnsi="Times New Roman;Times;serif"/>
          <w:sz w:val="20"/>
        </w:rPr>
        <w:t>$5.00</w:t>
      </w:r>
      <w:r>
        <w:rPr>
          <w:rFonts w:ascii="Times New Roman;Times;serif" w:hAnsi="Times New Roman;Times;serif"/>
          <w:sz w:val="20"/>
        </w:rPr>
        <w:t xml:space="preserve"> per share for any </w:t>
      </w:r>
      <w:r>
        <w:rPr>
          <w:rStyle w:val="Emphasis"/>
          <w:rFonts w:ascii="Times New Roman;Times;serif" w:hAnsi="Times New Roman;Times;serif"/>
          <w:sz w:val="20"/>
        </w:rPr>
        <w:t>five</w:t>
      </w:r>
      <w:r>
        <w:rPr>
          <w:rFonts w:ascii="Times New Roman;Times;serif" w:hAnsi="Times New Roman;Times;serif"/>
          <w:sz w:val="20"/>
        </w:rPr>
        <w:t xml:space="preserve"> (</w:t>
      </w:r>
      <w:r>
        <w:rPr>
          <w:rStyle w:val="Emphasis"/>
          <w:rFonts w:ascii="Times New Roman;Times;serif" w:hAnsi="Times New Roman;Times;serif"/>
          <w:sz w:val="20"/>
        </w:rPr>
        <w:t>5</w:t>
      </w:r>
      <w:r>
        <w:rPr>
          <w:rFonts w:ascii="Times New Roman;Times;serif" w:hAnsi="Times New Roman;Times;serif"/>
          <w:sz w:val="20"/>
        </w:rPr>
        <w:t xml:space="preserve">) consecutive trading days, in each case prior to </w:t>
      </w:r>
      <w:r>
        <w:rPr>
          <w:rStyle w:val="Emphasis"/>
          <w:rFonts w:ascii="Times New Roman;Times;serif" w:hAnsi="Times New Roman;Times;serif"/>
          <w:sz w:val="20"/>
        </w:rPr>
        <w:t xml:space="preserve">December 31, 2030. </w:t>
      </w:r>
      <w:r>
        <w:rPr>
          <w:rFonts w:ascii="Times New Roman;Times;serif" w:hAnsi="Times New Roman;Times;serif"/>
          <w:sz w:val="20"/>
        </w:rPr>
        <w:t xml:space="preserve">The </w:t>
      </w:r>
      <w:r>
        <w:rPr>
          <w:rStyle w:val="Emphasis"/>
          <w:rFonts w:ascii="Times New Roman;Times;serif" w:hAnsi="Times New Roman;Times;serif"/>
          <w:sz w:val="20"/>
        </w:rPr>
        <w:t xml:space="preserve">February 2026 </w:t>
      </w:r>
      <w:r>
        <w:rPr>
          <w:rFonts w:ascii="Times New Roman;Times;serif" w:hAnsi="Times New Roman;Times;serif"/>
          <w:sz w:val="20"/>
        </w:rPr>
        <w:t xml:space="preserve">PSU Awards will be settled in common stock on a prorated basis to the extent shares are available under the </w:t>
      </w:r>
      <w:r>
        <w:rPr>
          <w:rStyle w:val="Emphasis"/>
          <w:rFonts w:ascii="Times New Roman;Times;serif" w:hAnsi="Times New Roman;Times;serif"/>
          <w:sz w:val="20"/>
        </w:rPr>
        <w:t>2021</w:t>
      </w:r>
      <w:r>
        <w:rPr>
          <w:rFonts w:ascii="Times New Roman;Times;serif" w:hAnsi="Times New Roman;Times;serif"/>
          <w:sz w:val="20"/>
        </w:rPr>
        <w:t xml:space="preserve"> Equity Incentive Plan (the “Plan”); otherwise, vested awards will be settled in cash based on the fair market value of the Company’s common stock on the settlement date, defined as the </w:t>
      </w:r>
      <w:r>
        <w:rPr>
          <w:rStyle w:val="Emphasis"/>
          <w:rFonts w:ascii="Times New Roman;Times;serif" w:hAnsi="Times New Roman;Times;serif"/>
          <w:sz w:val="20"/>
        </w:rPr>
        <w:t>five</w:t>
      </w:r>
      <w:r>
        <w:rPr>
          <w:rFonts w:ascii="Times New Roman;Times;serif" w:hAnsi="Times New Roman;Times;serif"/>
          <w:sz w:val="20"/>
        </w:rPr>
        <w:t xml:space="preserve">-day trailing average closing price as reported by NASDAQ. The </w:t>
      </w:r>
      <w:r>
        <w:rPr>
          <w:rStyle w:val="Emphasis"/>
          <w:rFonts w:ascii="Times New Roman;Times;serif" w:hAnsi="Times New Roman;Times;serif"/>
          <w:sz w:val="20"/>
        </w:rPr>
        <w:t xml:space="preserve">June 2026 </w:t>
      </w:r>
      <w:r>
        <w:rPr>
          <w:rFonts w:ascii="Times New Roman;Times;serif" w:hAnsi="Times New Roman;Times;serif"/>
          <w:sz w:val="20"/>
        </w:rPr>
        <w:t xml:space="preserve">PSU Awards do </w:t>
      </w:r>
      <w:r>
        <w:rPr>
          <w:rStyle w:val="Emphasis"/>
          <w:rFonts w:ascii="Times New Roman;Times;serif" w:hAnsi="Times New Roman;Times;serif"/>
          <w:sz w:val="20"/>
        </w:rPr>
        <w:t>not</w:t>
      </w:r>
      <w:r>
        <w:rPr>
          <w:rFonts w:ascii="Times New Roman;Times;serif" w:hAnsi="Times New Roman;Times;serif"/>
          <w:sz w:val="20"/>
        </w:rPr>
        <w:t xml:space="preserve"> provide a cash-settlement alternative and will be settled in common stock upon vesting.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estimated the initial grant date fair value of these awards using the Monte Carlo simulation model with the following assumptions: </w:t>
      </w:r>
    </w:p>
    <w:p>
      <w:pPr>
        <w:pStyle w:val="TextBody"/>
        <w:bidi w:val="0"/>
        <w:spacing w:before="0" w:after="0"/>
        <w:ind w:left="0" w:right="0" w:firstLine="720"/>
        <w:jc w:val="both"/>
        <w:rPr/>
      </w:pPr>
      <w:r>
        <w:rPr/>
        <w:t> </w:t>
      </w:r>
    </w:p>
    <w:tbl>
      <w:tblPr>
        <w:tblW w:w="2865" w:type="dxa"/>
        <w:jc w:val="left"/>
        <w:tblInd w:w="0" w:type="dxa"/>
        <w:tblLayout w:type="fixed"/>
        <w:tblCellMar>
          <w:top w:w="0" w:type="dxa"/>
          <w:left w:w="0" w:type="dxa"/>
          <w:bottom w:w="0" w:type="dxa"/>
          <w:right w:w="0" w:type="dxa"/>
        </w:tblCellMar>
      </w:tblPr>
      <w:tblGrid>
        <w:gridCol w:w="1775"/>
        <w:gridCol w:w="845"/>
        <w:gridCol w:w="245"/>
      </w:tblGrid>
      <w:tr>
        <w:trPr/>
        <w:tc>
          <w:tcPr>
            <w:tcW w:w="17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Expected term (years)</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4.6 - 4.9</w:t>
            </w:r>
          </w:p>
        </w:tc>
        <w:tc>
          <w:tcPr>
            <w:tcW w:w="245" w:type="dxa"/>
            <w:tcBorders/>
            <w:shd w:fill="CCEEFF" w:val="clear"/>
            <w:vAlign w:val="center"/>
          </w:tcPr>
          <w:p>
            <w:pPr>
              <w:pStyle w:val="TableContents"/>
              <w:bidi w:val="0"/>
              <w:spacing w:before="0" w:after="0"/>
              <w:ind w:left="0" w:right="0" w:hanging="0"/>
              <w:jc w:val="left"/>
              <w:rPr/>
            </w:pPr>
            <w:r>
              <w:rPr/>
              <w:t> </w:t>
            </w:r>
          </w:p>
        </w:tc>
      </w:tr>
      <w:tr>
        <w:trPr/>
        <w:tc>
          <w:tcPr>
            <w:tcW w:w="17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w:t>
            </w:r>
          </w:p>
        </w:tc>
        <w:tc>
          <w:tcPr>
            <w:tcW w:w="245" w:type="dxa"/>
            <w:tcBorders/>
            <w:shd w:fill="FFFFFF" w:val="clear"/>
            <w:vAlign w:val="center"/>
          </w:tcPr>
          <w:p>
            <w:pPr>
              <w:pStyle w:val="TableContents"/>
              <w:bidi w:val="0"/>
              <w:spacing w:before="0" w:after="0"/>
              <w:ind w:left="0" w:right="0" w:hanging="0"/>
              <w:jc w:val="left"/>
              <w:rPr/>
            </w:pPr>
            <w:r>
              <w:rPr/>
              <w:t> </w:t>
            </w:r>
            <w:r>
              <w:rPr>
                <w:rFonts w:ascii="Times New Roman" w:hAnsi="Times New Roman"/>
                <w:sz w:val="20"/>
              </w:rPr>
              <w:t>%</w:t>
            </w:r>
          </w:p>
        </w:tc>
      </w:tr>
      <w:tr>
        <w:trPr/>
        <w:tc>
          <w:tcPr>
            <w:tcW w:w="17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 - 4.2</w:t>
            </w:r>
          </w:p>
        </w:tc>
        <w:tc>
          <w:tcPr>
            <w:tcW w:w="245" w:type="dxa"/>
            <w:tcBorders/>
            <w:shd w:fill="CCEEFF" w:val="clear"/>
            <w:vAlign w:val="center"/>
          </w:tcPr>
          <w:p>
            <w:pPr>
              <w:pStyle w:val="TableContents"/>
              <w:bidi w:val="0"/>
              <w:spacing w:before="0" w:after="0"/>
              <w:ind w:left="0" w:right="0" w:hanging="0"/>
              <w:jc w:val="left"/>
              <w:rPr/>
            </w:pPr>
            <w:r>
              <w:rPr/>
              <w:t> </w:t>
            </w:r>
            <w:r>
              <w:rPr>
                <w:rFonts w:ascii="Times New Roman" w:hAnsi="Times New Roman"/>
                <w:sz w:val="20"/>
              </w:rPr>
              <w:t>%</w:t>
            </w:r>
          </w:p>
        </w:tc>
      </w:tr>
      <w:tr>
        <w:trPr/>
        <w:tc>
          <w:tcPr>
            <w:tcW w:w="17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245" w:type="dxa"/>
            <w:tcBorders/>
            <w:shd w:fill="FFFFFF" w:val="clear"/>
            <w:vAlign w:val="center"/>
          </w:tcPr>
          <w:p>
            <w:pPr>
              <w:pStyle w:val="TableContents"/>
              <w:bidi w:val="0"/>
              <w:spacing w:before="0" w:after="0"/>
              <w:ind w:left="0" w:right="0" w:hanging="0"/>
              <w:jc w:val="left"/>
              <w:rPr/>
            </w:pPr>
            <w:r>
              <w:rPr/>
              <w:t> </w:t>
            </w:r>
            <w:r>
              <w:rPr>
                <w:rFonts w:ascii="Times New Roman" w:hAnsi="Times New Roman"/>
                <w:sz w:val="20"/>
              </w:rPr>
              <w:t>%</w:t>
            </w:r>
          </w:p>
        </w:tc>
      </w:tr>
    </w:tbl>
    <w:p>
      <w:pPr>
        <w:pStyle w:val="TextBody"/>
        <w:bidi w:val="0"/>
        <w:spacing w:before="0" w:after="0"/>
        <w:ind w:left="0" w:right="0" w:firstLine="720"/>
        <w:jc w:val="both"/>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 classified these awards as equity at the initial grant date and at </w:t>
      </w:r>
      <w:r>
        <w:rPr>
          <w:rStyle w:val="Emphasis"/>
          <w:rFonts w:ascii="Times New Roman;Times;serif" w:hAnsi="Times New Roman;Times;serif"/>
          <w:sz w:val="20"/>
        </w:rPr>
        <w:t xml:space="preserve">June 30, 2026. </w:t>
      </w:r>
      <w:r>
        <w:rPr>
          <w:rFonts w:ascii="Times New Roman;Times;serif" w:hAnsi="Times New Roman;Times;serif"/>
          <w:sz w:val="20"/>
        </w:rPr>
        <w:t xml:space="preserve">If, in a future period, the Company does </w:t>
      </w:r>
      <w:r>
        <w:rPr>
          <w:rStyle w:val="Emphasis"/>
          <w:rFonts w:ascii="Times New Roman;Times;serif" w:hAnsi="Times New Roman;Times;serif"/>
          <w:sz w:val="20"/>
        </w:rPr>
        <w:t>not</w:t>
      </w:r>
      <w:r>
        <w:rPr>
          <w:rFonts w:ascii="Times New Roman;Times;serif" w:hAnsi="Times New Roman;Times;serif"/>
          <w:sz w:val="20"/>
        </w:rPr>
        <w:t xml:space="preserve"> have sufficient shares available under the Plan to settle the </w:t>
      </w:r>
      <w:r>
        <w:rPr>
          <w:rStyle w:val="Emphasis"/>
          <w:rFonts w:ascii="Times New Roman;Times;serif" w:hAnsi="Times New Roman;Times;serif"/>
          <w:sz w:val="20"/>
        </w:rPr>
        <w:t xml:space="preserve">February 2026 </w:t>
      </w:r>
      <w:r>
        <w:rPr>
          <w:rFonts w:ascii="Times New Roman;Times;serif" w:hAnsi="Times New Roman;Times;serif"/>
          <w:sz w:val="20"/>
        </w:rPr>
        <w:t xml:space="preserve">PSU Awards upon vesting, some or all of the </w:t>
      </w:r>
      <w:r>
        <w:rPr>
          <w:rStyle w:val="Emphasis"/>
          <w:rFonts w:ascii="Times New Roman;Times;serif" w:hAnsi="Times New Roman;Times;serif"/>
          <w:sz w:val="20"/>
        </w:rPr>
        <w:t xml:space="preserve">February 2026 </w:t>
      </w:r>
      <w:r>
        <w:rPr>
          <w:rFonts w:ascii="Times New Roman;Times;serif" w:hAnsi="Times New Roman;Times;serif"/>
          <w:sz w:val="20"/>
        </w:rPr>
        <w:t xml:space="preserve">PSU Awards </w:t>
      </w:r>
      <w:r>
        <w:rPr>
          <w:rStyle w:val="Emphasis"/>
          <w:rFonts w:ascii="Times New Roman;Times;serif" w:hAnsi="Times New Roman;Times;serif"/>
          <w:sz w:val="20"/>
        </w:rPr>
        <w:t xml:space="preserve">may </w:t>
      </w:r>
      <w:r>
        <w:rPr>
          <w:rFonts w:ascii="Times New Roman;Times;serif" w:hAnsi="Times New Roman;Times;serif"/>
          <w:sz w:val="20"/>
        </w:rPr>
        <w:t>be reclassified to liability and remeasured to fair value.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Stock-Based compensation</w:t>
      </w:r>
      <w:r>
        <w:rPr>
          <w:rFonts w:ascii="Times New Roman;Times;serif" w:hAnsi="Times New Roman;Times;serif"/>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stock-based compensation expense recorded in each financial statement line item in the Company’s condensed consolidated statements of operations and comprehensive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(in thousands):</w:t>
      </w:r>
    </w:p>
    <w:p>
      <w:pPr>
        <w:pStyle w:val="TextBody"/>
        <w:bidi w:val="0"/>
        <w:spacing w:before="0" w:after="0"/>
        <w:ind w:left="0" w:right="0" w:firstLine="720"/>
        <w:jc w:val="left"/>
        <w:rPr>
          <w:caps w:val="false"/>
          <w:smallCaps w:val="false"/>
        </w:rPr>
      </w:pPr>
      <w:r>
        <w:rPr>
          <w:caps w:val="false"/>
          <w:smallCaps w:val="false"/>
        </w:rPr>
        <w:t> </w:t>
      </w:r>
    </w:p>
    <w:tbl>
      <w:tblPr>
        <w:tblW w:w="7541" w:type="dxa"/>
        <w:jc w:val="left"/>
        <w:tblInd w:w="0" w:type="dxa"/>
        <w:tblLayout w:type="fixed"/>
        <w:tblCellMar>
          <w:top w:w="0" w:type="dxa"/>
          <w:left w:w="0" w:type="dxa"/>
          <w:bottom w:w="0" w:type="dxa"/>
          <w:right w:w="0" w:type="dxa"/>
        </w:tblCellMar>
      </w:tblPr>
      <w:tblGrid>
        <w:gridCol w:w="2645"/>
        <w:gridCol w:w="60"/>
        <w:gridCol w:w="227"/>
        <w:gridCol w:w="881"/>
        <w:gridCol w:w="109"/>
        <w:gridCol w:w="109"/>
        <w:gridCol w:w="227"/>
        <w:gridCol w:w="881"/>
        <w:gridCol w:w="60"/>
        <w:gridCol w:w="60"/>
        <w:gridCol w:w="207"/>
        <w:gridCol w:w="805"/>
        <w:gridCol w:w="99"/>
        <w:gridCol w:w="99"/>
        <w:gridCol w:w="207"/>
        <w:gridCol w:w="805"/>
        <w:gridCol w:w="60"/>
      </w:tblGrid>
      <w:tr>
        <w:trPr/>
        <w:tc>
          <w:tcPr>
            <w:tcW w:w="26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6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 w:type="dxa"/>
            <w:tcBorders/>
            <w:shd w:fill="FFFFFF" w:val="clear"/>
            <w:vAlign w:val="center"/>
          </w:tcPr>
          <w:p>
            <w:pPr>
              <w:pStyle w:val="TableContents"/>
              <w:bidi w:val="0"/>
              <w:spacing w:before="0" w:after="0"/>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09"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99"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shd w:fill="FFFFFF" w:val="clear"/>
            <w:vAlign w:val="center"/>
          </w:tcPr>
          <w:p>
            <w:pPr>
              <w:pStyle w:val="TableContents"/>
              <w:bidi w:val="0"/>
              <w:spacing w:before="0" w:after="0"/>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FFFFFF" w:val="clear"/>
            <w:vAlign w:val="center"/>
          </w:tcPr>
          <w:p>
            <w:pPr>
              <w:pStyle w:val="TableContents"/>
              <w:bidi w:val="0"/>
              <w:spacing w:before="0" w:after="0"/>
              <w:ind w:left="0" w:right="0" w:hanging="0"/>
              <w:jc w:val="left"/>
              <w:rPr/>
            </w:pPr>
            <w:r>
              <w:rPr/>
              <w:t> </w:t>
            </w:r>
          </w:p>
        </w:tc>
        <w:tc>
          <w:tcPr>
            <w:tcW w:w="109" w:type="dxa"/>
            <w:tcBorders/>
            <w:shd w:fill="FFFFFF" w:val="clear"/>
            <w:vAlign w:val="center"/>
          </w:tcPr>
          <w:p>
            <w:pPr>
              <w:pStyle w:val="TableContents"/>
              <w:bidi w:val="0"/>
              <w:spacing w:before="0" w:after="0"/>
              <w:ind w:left="0" w:right="0" w:hanging="0"/>
              <w:jc w:val="left"/>
              <w:rPr/>
            </w:pPr>
            <w:r>
              <w:rPr/>
              <w:t> </w:t>
            </w:r>
          </w:p>
        </w:tc>
        <w:tc>
          <w:tcPr>
            <w:tcW w:w="227" w:type="dxa"/>
            <w:tcBorders/>
            <w:shd w:fill="FFFFFF" w:val="clear"/>
            <w:vAlign w:val="center"/>
          </w:tcPr>
          <w:p>
            <w:pPr>
              <w:pStyle w:val="TableContents"/>
              <w:bidi w:val="0"/>
              <w:spacing w:before="0" w:after="0"/>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99"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w:t>
            </w:r>
          </w:p>
        </w:tc>
        <w:tc>
          <w:tcPr>
            <w:tcW w:w="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2,419</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 w:type="dxa"/>
            <w:tcBorders/>
            <w:shd w:fill="FFFFFF" w:val="clear"/>
            <w:vAlign w:val="center"/>
          </w:tcPr>
          <w:p>
            <w:pPr>
              <w:pStyle w:val="TableContents"/>
              <w:bidi w:val="0"/>
              <w:spacing w:before="0" w:after="0"/>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w:t>
            </w:r>
          </w:p>
        </w:tc>
        <w:tc>
          <w:tcPr>
            <w:tcW w:w="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3,661</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75"/>
        <w:gridCol w:w="246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has one reportable segment managed on a consolidated basis by the Chief Executive Officer who is the chief operating decision maker (“CODM”). In identifying </w:t>
      </w:r>
      <w:r>
        <w:rPr>
          <w:rStyle w:val="Emphasis"/>
          <w:rFonts w:ascii="Times New Roman" w:hAnsi="Times New Roman"/>
          <w:caps w:val="false"/>
          <w:smallCaps w:val="false"/>
          <w:sz w:val="20"/>
        </w:rPr>
        <w:t>one</w:t>
      </w:r>
      <w:r>
        <w:rPr>
          <w:rFonts w:ascii="Times New Roman" w:hAnsi="Times New Roman"/>
          <w:caps w:val="false"/>
          <w:smallCaps w:val="false"/>
          <w:sz w:val="20"/>
        </w:rPr>
        <w:t> reportable segment, the Company considered the basis of organization for the design and development of high-performance, active lidar systems and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expense categories regularly provided to the CODM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already included in the consolidated statements of operations and comprehensive loss. The measure of segment assets is reported on the balance sheet as cash, cash equivalents, and marketable securities.</w:t>
      </w:r>
    </w:p>
    <w:p>
      <w:pPr>
        <w:pStyle w:val="TextBody"/>
        <w:bidi w:val="0"/>
        <w:spacing w:before="0" w:after="0"/>
        <w:ind w:left="0" w:right="0" w:firstLine="720"/>
        <w:jc w:val="left"/>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75"/>
        <w:gridCol w:w="96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Product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recorded revenue for product sales of $172 and $273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$22 and $22.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respectively.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incur significant contract costs in fulfilling or obtaining their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Times;serif" w:hAnsi="Times New Roman;Times;serif"/>
          <w:b/>
          <w:i/>
          <w:caps w:val="false"/>
          <w:smallCaps w:val="false"/>
          <w:sz w:val="20"/>
        </w:rPr>
        <w:t>evelopment Contracts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has entered into research and development contracts as well as a sales, marketing, and technical support service contract with companies in both the Automotive and Non-Automotive markets. The Company assessed the number of performance obligations associated with the promises under each agreement and recognized $30 and $30 in revenue for performance obligations that had been satisfied as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respectively, and $0 and $64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in the condensed consolidated statements of operations and comprehensive loss.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Disaggregation of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recognized the following revenues by geographic area based on the primary billing address of the customer and by the timing of the transfer of goods or services to customers (point in time or over time), as it believes such criteria best depict how the nature, amount, timing, and uncertainty of its revenue and cash flows are affected by economic factors. Total revenue based on the disaggregation criteria described above is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3650"/>
        <w:gridCol w:w="60"/>
        <w:gridCol w:w="315"/>
        <w:gridCol w:w="845"/>
        <w:gridCol w:w="151"/>
        <w:gridCol w:w="151"/>
        <w:gridCol w:w="315"/>
        <w:gridCol w:w="656"/>
        <w:gridCol w:w="60"/>
        <w:gridCol w:w="60"/>
        <w:gridCol w:w="297"/>
        <w:gridCol w:w="797"/>
        <w:gridCol w:w="142"/>
        <w:gridCol w:w="142"/>
        <w:gridCol w:w="297"/>
        <w:gridCol w:w="547"/>
        <w:gridCol w:w="60"/>
      </w:tblGrid>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by primary geographical market:</w:t>
            </w:r>
          </w:p>
        </w:tc>
        <w:tc>
          <w:tcPr>
            <w:tcW w:w="60"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54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51"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42"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151"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42"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5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Asia-Pacific</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w:t>
            </w:r>
          </w:p>
        </w:tc>
        <w:tc>
          <w:tcPr>
            <w:tcW w:w="151"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w:t>
            </w:r>
          </w:p>
        </w:tc>
        <w:tc>
          <w:tcPr>
            <w:tcW w:w="142"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0"/>
              <w:ind w:left="0" w:right="0" w:hanging="0"/>
              <w:jc w:val="left"/>
              <w:rPr/>
            </w:pPr>
            <w:r>
              <w:rPr/>
              <w:t> </w:t>
            </w:r>
          </w:p>
        </w:tc>
        <w:tc>
          <w:tcPr>
            <w:tcW w:w="65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797"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5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by timing of recognition:</w:t>
            </w:r>
          </w:p>
        </w:tc>
        <w:tc>
          <w:tcPr>
            <w:tcW w:w="60"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54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at a point in time</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51"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142"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over time</w:t>
            </w:r>
          </w:p>
        </w:tc>
        <w:tc>
          <w:tcPr>
            <w:tcW w:w="60" w:type="dxa"/>
            <w:tcBorders/>
            <w:shd w:fill="CCEE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Contract Liabilities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had no contract liabilities as of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Remaining Performance Obligations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contracts where the customer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committed. The customer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committed where they are able to terminate for convenience without payment of a substantive penalty under the contract. Additionally, as a practical expedient,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disclosed the value of unsatisfied performance obligations for contracts with an original expected length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w:t>
      </w:r>
    </w:p>
    <w:p>
      <w:pPr>
        <w:pStyle w:val="TextBody"/>
        <w:bidi w:val="0"/>
        <w:spacing w:before="0" w:after="0"/>
        <w:ind w:left="0" w:right="0" w:firstLine="72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p>
        </w:tc>
        <w:tc>
          <w:tcPr>
            <w:tcW w:w="15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72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recognized $2 and $2 provision for income taxes, respectively. The income tax rates vary from the federal and state statutory rates due to the valuation allowances on the Company’s net operating losses and foreign tax rate differences. The Company computes its quarterly income tax provision by using a forecasted annual effective tax rate and adjusts for any discrete items arising during the quarter.</w:t>
      </w:r>
    </w:p>
    <w:p>
      <w:pPr>
        <w:pStyle w:val="TextBody"/>
        <w:bidi w:val="0"/>
        <w:spacing w:before="0" w:after="0"/>
        <w:ind w:left="20" w:right="0" w:firstLine="72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p>
        </w:tc>
        <w:tc>
          <w:tcPr>
            <w:tcW w:w="36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Legal matters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legal proceedings and claims that arise in the ordinary course of business. Litigation can be expensive and disruptive to normal business operations. Moreover, the results of complex legal proceedings are difficult to predict and the Company’s view of these matters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change in the future as the litigation and events related thereto unfold. The Company expenses legal fees as incurred. The Company records a provision for contingent losses when it is both probable that a liability has been incurred and the amount of the loss can be reasonably estimated. </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2025, the Company was notified by a former vendor that it intended to pursue a claim against the Company’s wholly owned subsidiary, AEye Technologies, Inc., arising out of an agreement entered into in May 2020</w:t>
      </w:r>
      <w:r>
        <w:rPr>
          <w:rFonts w:ascii="Times New Roman" w:hAnsi="Times New Roman"/>
          <w:i/>
          <w:caps w:val="false"/>
          <w:smallCaps w:val="false"/>
          <w:sz w:val="20"/>
        </w:rPr>
        <w:t>,</w:t>
      </w:r>
      <w:r>
        <w:rPr>
          <w:rFonts w:ascii="Times New Roman" w:hAnsi="Times New Roman"/>
          <w:caps w:val="false"/>
          <w:smallCaps w:val="false"/>
          <w:sz w:val="20"/>
        </w:rPr>
        <w:t> in which the former vendor alleges that AEye Technologies, Inc. failed to pay approximately $3,300 plus interest from the date the former vendor alleges such payments were due. In February 2026, the former vendor initiated a binding arbitration proceeding against AEye Technologies, Inc. pursuant to the underlying purchase agreement. AEye Technologies, Inc. has disputed, and continues to dispute, the total amount owed based, in part, on the claim that the products supplied by the former vendor were largely defective, that the former vendor was repeatedly made aware of the existence of such defects, and has asserted counterclaims in the arbitration. The arbitration hearing was held in July 2026, and the Company expects the arbitrator to issue an award in the second half of 2026.  Because the outcome turns on disputed issues concerning the alleged defective and late delivery of the devices and the Company’s counterclaims, the Company is unable to predict the outcome of the arbitration or to estimate the amount of probable loss, if any, at this time.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contains forward-looking statements that are based on current expectations, estimates, assumptions, and projections about our industry, business, and future financial results. Our actual results and the timing of events may differ materially from those described in or implied by these forward-looking statements due to a number of factors. You should read the sections of this Quarterly Report on Form 10-Q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and  “</w:t>
      </w:r>
      <w:r>
        <w:rPr>
          <w:rFonts w:ascii="Times New Roman" w:hAnsi="Times New Roman"/>
          <w:i/>
          <w:caps w:val="false"/>
          <w:smallCaps w:val="false"/>
          <w:sz w:val="20"/>
        </w:rPr>
        <w:t>Cautionary Note Regarding Forward-Looking Statements” for a discussion of such factors that could cause our actual results to differ materially from the results described in or implied by the forward-looking statements contained in the following discussion and analysis. Unless the context otherwise requires, references in this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AEye,</w:t>
      </w:r>
      <w:r>
        <w:rPr>
          <w:rFonts w:ascii="Times New Roman" w:hAnsi="Times New Roman"/>
          <w:caps w:val="false"/>
          <w:smallCaps w:val="false"/>
          <w:sz w:val="20"/>
        </w:rPr>
        <w:t xml:space="preserve">” </w:t>
      </w:r>
      <w:r>
        <w:rPr>
          <w:rFonts w:ascii="Times New Roman" w:hAnsi="Times New Roman"/>
          <w:i/>
          <w:caps w:val="false"/>
          <w:smallCaps w:val="false"/>
          <w:sz w:val="20"/>
        </w:rPr>
        <w:t>refer to the business and operations of AEye,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Overview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overview provides a high-level discussion of our operating results and some of the trends that affect our business. We believe that an understanding of these trends is important to understanding our financial results for the six months ended June 30, 2026, as well as our future prospects. This summary is not intended to be exhaustive, nor is it intended to be a substitute for the detailed discussion and analysis provided elsewhere in this Quarterly Report, including our condensed consolidated financial statements and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dollar amounts expressed in this Management’s Discussion and Analysis of Financial Condition and Results of Operations are in thousands of dollars, except for share amounts, per share amounts, and unless otherwise specified.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Key Factors Affecting Our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our future performance and success depends, to a substantial extent, on our ability to capitalize on the opportunities described herein, which in turn are subject to significant risks and challenges, including those discussed below and the information described in Part II, Item 1A, of this Quarterly Report under the heading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those risks common in the technology industry and also those risks common to early stage companies including, but not limited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developing, commercializing, and scaling our products and technology, including meeting performance, reliability, and cost objectives;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and expanding our relationships with Tier 1 automotive suppliers to facilitate design wins with automotive OEMs;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and protecting our intellectual property, including patents, trade secrets, and proprietary software;</w:t>
            </w:r>
          </w:p>
        </w:tc>
      </w:tr>
      <w:tr>
        <w:trPr/>
        <w:tc>
          <w:tcPr>
            <w:tcW w:w="75"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navigating changes in international trade policies, including the imposition or modification of tariffs, increasing trade tensions, and the introduction of new trade restrictions</w:t>
            </w:r>
          </w:p>
        </w:tc>
      </w:tr>
    </w:tbl>
    <w:tbl>
      <w:tblPr>
        <w:tblW w:w="8860" w:type="dxa"/>
        <w:jc w:val="left"/>
        <w:tblInd w:w="0" w:type="dxa"/>
        <w:tblLayout w:type="fixed"/>
        <w:tblCellMar>
          <w:top w:w="0" w:type="dxa"/>
          <w:left w:w="0" w:type="dxa"/>
          <w:bottom w:w="0" w:type="dxa"/>
          <w:right w:w="0" w:type="dxa"/>
        </w:tblCellMar>
      </w:tblPr>
      <w:tblGrid>
        <w:gridCol w:w="60"/>
        <w:gridCol w:w="110"/>
        <w:gridCol w:w="86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complying with existing and new laws and regulations applicable to our operations, products, and markets;</w:t>
            </w:r>
          </w:p>
        </w:tc>
      </w:tr>
    </w:tbl>
    <w:tbl>
      <w:tblPr>
        <w:tblW w:w="7600" w:type="dxa"/>
        <w:jc w:val="left"/>
        <w:tblInd w:w="0" w:type="dxa"/>
        <w:tblLayout w:type="fixed"/>
        <w:tblCellMar>
          <w:top w:w="0" w:type="dxa"/>
          <w:left w:w="0" w:type="dxa"/>
          <w:bottom w:w="0" w:type="dxa"/>
          <w:right w:w="0" w:type="dxa"/>
        </w:tblCellMar>
      </w:tblPr>
      <w:tblGrid>
        <w:gridCol w:w="60"/>
        <w:gridCol w:w="110"/>
        <w:gridCol w:w="74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and enhancing our reputation and brand in competitive and emerging markets;</w:t>
            </w:r>
          </w:p>
        </w:tc>
      </w:tr>
    </w:tbl>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hiring, integrating, and retaining qualified personnel at all levels of the organization as we grow;</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developing and delivering new products and solutions successfully, and ensuring our products meet customer expectations and provide value;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competition from companies, including several based in China, that manufacture lower</w:t>
              <w:noBreakHyphen/>
              <w:t>cost lidar solutions and may be able to offer aggressive pricing, faster volume production, or vertically integrated supply chains that could place downward pressure on market pricing or reduce our ability to compete in certain segments.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Market Trends and Uncertainties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anticipate growing demand for our ApolloTM platform across our two major markets, Automotive and Non-Automotive, and we believe this expected growth will enable us to capture market share across both the Automotive and Non-Automotive markets. We plan to pursue opportunities in advanced driver-assistance systems, or ADAS, autonomous driving, and commercial trucking, while also exploring opportunities in the Non-Automotive market, such as in the railway, airport safety and security, perimeter monitoring, aerospace and defense, transportation logistics, sports analytics, and intelligent transportation systems, or ITS, segments. This diversified approach provides us with multiple opportunities for sustained growth by enabling new applications and product features across a broad range of industries and market segments. However, as our customers continue their R&amp;D projects to commercialize solutions that rely on lidar technology, it is difficult to estimate the timing of ultimate end market demand and customer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Automotive market for example, our growth and financial performance will be heavily influenced by our ability to successfully integrate into OEM programs that require years of development, testing, and validation. Because of the size and complexity of these OEM programs, having Tier 1 partnerships should provide a substantial competitive advantage over our competitors given their large scale, mass-production capabilities, and existing OEM relationships held by our Tier 1 partners. If we fail to remain engaged with one or more Tier 1 automotive suppliers, it may have an adverse effect on our business. The Automotive market for lidar is projected to see significant growth in the mid- and long-term.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anticipate that Non</w:t>
        <w:noBreakHyphen/>
        <w:t>Automotive applications will be a more significant driver of our near</w:t>
        <w:noBreakHyphen/>
        <w:t>term revenue given the generally shorter sales cycles and development timelines in these markets. We are beginning to see adoption across a diverse group of sectors. Our typical engagement model begins with proof</w:t>
        <w:noBreakHyphen/>
        <w:t>of</w:t>
        <w:noBreakHyphen/>
        <w:t>concept evaluations, which allow customers to validate performance in their operational environments; however, there is no guarantee that these evaluations will ultimately result in a commercial deployment, and timelines may extend significantly, due to many factors, including, competing customer priorities or broader program changes. In many Non</w:t>
        <w:noBreakHyphen/>
        <w:t>Automotive opportunities, we work through third</w:t>
        <w:noBreakHyphen/>
        <w:t>party systems integrators or solution providers who deliver complete solutions to the end customer, and in those situations our visibility into, and ability to influence, the final customer decision process may be limited.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first half of 2026, we experienced increased commercial traction that we believe marks an inflection point in our transition from development toward commercialization. Revenue was $303 for the six months ended June 30, 2026, up 252% from $86 in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Partnerships and Commercialization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technology is designed to be a key enabler in certain Automotive and Non-Automotive market applications. Because our technology must be integrated into a broader solution by our customers, it is critical that we achieve design wins with these customers. The time to achieve a design win varies based on the market and application. We consider design wins to be critical to our future success, although the revenue that may be generated by each design win and the time necessary to achieve such a design win can vary significantly, making it difficult to predict our financial performance. We have unified our supply chain for the Automotive and Non-Automotive markets and plan to leverage our Tier 1 automotive suppliers to produce products for us to sell into our Non-Automotive markets, whereas in the Automotive markets, we anticipate licensing our technology to our Tier 1 suppliers in exchange for a royalty. The unified supply chain should allow us to leverage the scale, efficiencies, and volume associated with supplying the Automotive market to benefit our Non-Automotive market customers. In 2023, as part of our effort to reduce fixed operating costs, simplify our supply chain, and focus resources on our next</w:t>
        <w:noBreakHyphen/>
        <w:t>generation architecture, we wound down support for our legacy Non</w:t>
        <w:noBreakHyphen/>
        <w:t>Automotive product. Since launching ApolloTM in 2024, we have seen renewed interest from Non</w:t>
        <w:noBreakHyphen/>
        <w:t>Automotive customers across a broad range of sectors and are now actively engaged on multiple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early 2024, we engaged LITEON as our Tier 1 automotive supplier and are actively working with LITEON to bring our product to market. We recently announced an expansion of this relationship and the creation of a dedicated production line for ApolloTM, with capacity to produce up to 60,000 units annually. We believe we are starting to see an inflection point in customer demand, and this expansion ensures we can meet that growth if it develops. This partnership enables us to leverage LITEON’s manufacturing expertise to produce high-quality products that meet stringent performance standards, which is a critical step towards scaling production and delivering our advanced lidar solutions to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May 2024, we announced a strategic partnership with Accelight Technologies, Inc. ("ATI") and LighTekton Co., Ltd ("LighTekton") to manufacture and distribute our products in China. This collaboration provides us with access to a potential $2.5 billion market opportunity. By leveraging ATI's and LighTekton's extensive networks and manufacturing capabilities, we aim to accelerate our market penetration and deliver our advanced lidar solutions to a broader audience.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left"/>
        <w:rPr>
          <w:rFonts w:ascii="Times New Roman;Times;serif" w:hAnsi="Times New Roman;Times;serif"/>
          <w:sz w:val="20"/>
        </w:rPr>
      </w:pPr>
      <w:r>
        <w:rPr>
          <w:rFonts w:ascii="Times New Roman;Times;serif" w:hAnsi="Times New Roman;Times;serif"/>
          <w:sz w:val="20"/>
        </w:rPr>
        <w:t>In July 2025, we announced the validation of our lidar technology on the NVIDIA DRIVE AGX OrinTM platform. We have since expanded our collaboration and validated our lidar with NVIDIA's next-generation DRIVE AGX ThorTM platform, enabling our sensors to interface directly with NVIDIA’s autonomous driving compute architecture and development toolchain. These integrations are intended to support alignment with NVIDIA’s Hyperion reference architecture and may provide opportunities to engage with global automotive OEMs and Tier 1 suppliers that adopt NVIDIA</w:t>
        <w:noBreakHyphen/>
        <w:t>based ADAS and automated driving systems. We continue to demonstrate advances in the high</w:t>
        <w:noBreakHyphen/>
        <w:t>speed and long</w:t>
        <w:noBreakHyphen/>
        <w:t>range performance of our lidar systems, which we believe further strengthen the technical basis for these integrations. Because these engagements are relatively recent, there can be no guarantee that they will result in commercial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July 2025, we launched OPTIS™, a complete physical AI solution designed to modernize legacy infrastructure and deliver actionable intelligence across diverse industries. OPTIS™ integrates our software-defined ApolloTM lidar technology with advanced computing to bridge the gap between perception and real-time action. Beyond addressing critical needs in transportation, safety, and security, OPTIS™ opens our platform to third-party partners and developers, creating an ecosystem for innovation and growth beyond automotive applications. Since launch, we’ve transitioned OPTIS™ from concept to a structured offering. Our flagship OPTIS™ deployments in California and Michigan are live at active intersections and a highway, and provide the potential for a complete traffic management solution that integrates our lidar, perception, and actuation in conjunction with our partners Flasheye,Blue-Band and Vueron.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2026, we introduced STRATOS™, the next product in our lidar family. STRATOS™ is based on the same underlying software</w:t>
        <w:noBreakHyphen/>
        <w:t>defined ApolloTM architecture but delivers an extended detection range of up to approximately 1.5 kilometers and roughly twice the angular resolution. STRATOS™ is designed for applications requiring enhanced long</w:t>
        <w:noBreakHyphen/>
        <w:t>distance performance, including sensing requirements in certain automotive, infrastructure, aviation, industrial, and defense use cases.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March 2026, we joined the NVIDIA Halos AI Systems Inspection Lab, the world’s first ANAB-accredited AI systems inspection lab, which we believe further reinforces our positioning within the NVIDIA ecosystem and may support our engagement with global automotive OEMs and Tier 1 suppliers. Also, during the first quarter of 2026, we entered into a commercial relationship with SynTech, a global defense systems company with established ties to leading defense primes, under which SynTech began promoting Apollo™ to its customers and we have commenced initial shipments. We believe this relationship could expand our addressable market into international defense and aviation; however, there can be no assurance that this relationship, or the integrations described above, will result in commercial sales for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second quarter of 2026, we partnered with MoveAWheeL to explore combining Apollo’s™ long-range 3D object detection with MoveAWheeL’s acoustic road-surface friction sensing, with the goal of providing real-time predictive road-surface friction data to improve advanced driver-assistance and autonomous driving performance in adverse weather. Evaluations are underway in select geographies, however there can be no assurance that it will result in a commercial relationship or in commercial sales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aerospace and defense, our customer engagements continued to increase during the second quarter of 2026, with multiple repeat orders from existing customers and active development across multiple programs. We are being evaluated for expanded use cases with these customers, and expect to receive additional requests for quotation in the near term. While we are encouraged by the trajectory of these engagements, there can be no assurance that they will translate into commercial sales for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revenue and profitability will also be dependent upon our success in licensing our technology to Tier 1 automotive suppliers, such as our current Tier 1 partner, LITEON, and these partners securing program awards from OEMs and scaling to high volume production of our lidar sensors. Delays in autonomy programs by OEMs that we are currently or plan to be working with through our Tier 1 partners could result in us being unable to achieve our revenue and profitability targets in the time frame we anticipate, or at all.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Geographic Opportunities</w:t>
      </w:r>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our commercial activities remain primarily focused in North America, we are also actively engaging with customers in EMEA and APAC. Our APAC strategy has begun to evolve through business development activities in Korea, where we have established on-the-ground support and have engaged with multiple customers across the ITS, rail, and mobility sectors. In China, we have multiple customer evaluations in progress, supported by our existing partnerships with ATI and LighTekton. Additional proof-of-concept activity is underway in other geographies, including Australia and Thailand. There can be no assurance that any of these international engagements will result in commercial sales for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Gross Margin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gross margins will depend on numerous factors, including, among others, the selling price of our products, pricing of our development contracts with customers, royalty rates on licenses we grant to our customers, unit volumes, product mix, component costs, personnel costs, contract manufacturing costs, overhead costs, and product features. Our gross margins have and may continue to be negatively impacted by inventory write-downs. In the future, we expect to generate attractive gross margins from licensing our lidar technology and software to our Tier 1 partners in the Automotive market. We also anticipate being able to leverage our foundation in the Automotive market to be more cost competitive in other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date, we have primarily generated revenue through sales of our products to Non</w:t>
        <w:noBreakHyphen/>
        <w:t>Automotive customers and through development contracts with OEMs, Tier 1 suppliers and other customers. Non</w:t>
        <w:noBreakHyphen/>
        <w:t>Automotive applications typically command higher average selling prices and may carry higher gross margins than Automotive programs due to lower volume sensitivity, more specialized operating requirements, and greater willingness by customers to pay for performance differentiation. These engagements often involve customization of our product’s capabilities to address application</w:t>
        <w:noBreakHyphen/>
        <w:t>specific needs, including software</w:t>
        <w:noBreakHyphen/>
        <w:t>based configuration of scan patterns, region</w:t>
        <w:noBreakHyphen/>
        <w:t>of</w:t>
        <w:noBreakHyphen/>
        <w:t>interest tuning, advanced perception features, and other enhancements. In many cases, customers require more complex configurations or software</w:t>
        <w:noBreakHyphen/>
        <w:t>enabled feature additions, which allows us greater latitude to price these solutions at a premium. As a result, customized Non</w:t>
        <w:noBreakHyphen/>
        <w:t>Automotive deployments generally reflect higher contractual pricing and may contribute more favorably to gross margin relative to standard Automotive configurations.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Investment and Innovation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proprietary adaptive intelligent lidar technology delivers industry-leading performance, addressing the toughest challenges in achieving partial or full autonomy. Unlike traditional sensing systems that passively collect data, our active Intelligent Sensing Platform employs principles from automated targeting systems and biomimicry to actively scan the environment, intelligently focusing on critical elements to enable safer, smarter, and faster decisions in complex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next</w:t>
        <w:noBreakHyphen/>
        <w:t>generation lidar portfolio is built on our Intelligent Sensing Platform, a modular and software</w:t>
        <w:noBreakHyphen/>
        <w:t>defined architecture that allows us to create differentiated product offerings with limited incremental hardware changes. By maintaining a common core design and enabling performance enhancements through software—such as configurable scan patterns, range distribution, and perception features—we are able to address diverse application requirements while minimizing the operational complexity typically associated with managing a large product portfolio. This platform</w:t>
        <w:noBreakHyphen/>
        <w:t>based approach also allows us to introduce new products efficiently. For example, STRATOS™, launched in January 2026, is derived from the Apollo'sTM architecture but offers extended range and higher angular resolution to support long</w:t>
        <w:noBreakHyphen/>
        <w:t>distance and higher</w:t>
        <w:noBreakHyphen/>
        <w:t>performance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June 2024, we introduced ApolloTM, our next generation lidar sensor. ApolloTM offers best-in-class range and resolution in a compact, power-efficient, and cost-effective form factor, making it ideal for both automotive and non-automotive applications. ApolloTM can be integrated behind the windshield, on the roof, or in the grille, allowing OEMs to implement essential safety features with minimal impact on vehicle design. This innovative sensor leverages our Intelligent Sensing Platform, providing a highly programmable and customizable lidar solution that can be continually enhanced via software updates. With a horizontal field of view up to 120° and long-range detection capabilities of up to one kilometer, ApolloTM is poised to be a key player in advancing vehicle safety and autonomy, as well as smart infrastructure and logistics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Building on this foundation, we launched OPTIS™ in July 2025, a complete physical AI solution that extends our capabilities beyond automotive. OPTIS™ combines Apollo’sTM software-defined lidar with advanced computing to deliver actionable intelligence for modernizing legacy infrastructure. This platform not only addresses critical needs in transportation, safety, and security but also opens our ecosystem to third-party partners and developers, fostering innovation across industries. Since launch, OPTIS™ has moved from concept to structured offering, with initial deployments completed and new partners such as Black Sesame Technologies, BlueBand, Flasheye, and Vueron joining our network. In addition, in January 2026, we announced STRATOS™, the next product in this family. STRATOS™ is based on the same underlying architecture as Apollo™ but offers extended detection range of up to approximately 1.5 kilometers and roughly twice the angular resolution. STRATOS™ is intended for applications that require enhanced long</w:t>
        <w:noBreakHyphen/>
        <w:t>distance performance or operate at higher speeds, including certain automotive, infrastructure, defense, and industrial sensing environments. Like Apollo™, STRATOS™ leverages our software</w:t>
        <w:noBreakHyphen/>
        <w:t>defined sensing approach, enabling performance updates without a hardware redesign.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the software-defined nature of our architecture has increasingly been a factor in customer evaluations and selections. Because Apollo™ and STRATOS™ are built on a common software-defined platform, customers can configure range, resolution, and field of view, and enable perception features, through software rather than hardware changes, allowing a single architecture to address application-specific requirements across automotive, commercial trucking, aerospace and defense, intelligent transportation systems and other industries. There can be no assurance, however, that this differentiation will result in design wins or commercial sales for us.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our financial performance is significantly dependent on our ability to maintain a technology leadership position. This is further dependent on the investments we make in research and development and our ability to commercialize our products. We believe price is becoming a critical differentiator in the marketplace and OEMs are favoring companies that have the infrastructure to build lower cost products at higher volumes. It is essential that we continually identify and respond to rapidly evolving customer requirements, develop and introduce innovative new products, enhance and service existing products, lower bill of materials, or BOM costs, industrialize the manufacturing process, and generate strong market demand for our products. If we fail to do this, our market position and revenue may be adversely affected, and our investments in that area will not be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conduct our business through one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Components of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 revenue primarily relates to unit sales of our lidar units, software, and support. Revenue from these sales is typically recognized at a point in time when the control of the goods is transferred to the customer, generally upon delivery of or shipment to the customer, or when services have been provided. Revenue from development and/or collaboration contracts are earned from R&amp;D activities and collaboration with OEMs, Tier 1 suppliers and other customers. These contracts primarily focus on customization of our product's capabilities to our customers’ applications, typically involving software implementation to assist with sensor connection and control, customization of scan patterns, and enhancement of perception capabilities to meet specific customer needs. Revenue from development contracts is recognized when we satisfy performance obligations in the contract, which can result in recognition at either a point in time or over time. This assessment is made at the outset of the arrangement for each performance obligation.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seeing strong interest in ApolloTM from Non-Automotive customers across multiple industries and are actively advancing these opportunities. Proof-of-concept deployments are validating our technology in real-world scenarios, creating a solid foundation for future growth. While customer evaluation and testing cycles are typically extended, these engagements position us well for gradual revenue contributions and set the stage for meaningful expansion through higher volume programs. We view this as the first step in a disciplined growth roadmap designed to unlock adoption and scale with confidence.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Several partners are also exploring new platforms based on our ApolloTM architecture and have initiated discussions on development work, which we expect will increase over time.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Cost of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 of revenue includes costs directly associated with the production of lidar units, cost of software and support, and certain costs associated with development contracts. Such costs for the products include direct materials, direct labor, indirect labor, inventory write downs, losses on purchase commitments, warranty expense, and allocation of overhead. As we increase the volume of ApolloTM units that are manufactured, we expect the bill of material costs to decrease over time. Costs associated with development contracts include the direct costs and allocation of overhead costs involved in the execution of the contracts.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research and development ("R&amp;D") efforts are focused primarily on hardware, software, and system engineering related to the design and development of our advanced lidar solutions. R&amp;D expenses include:</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10"/>
        <w:gridCol w:w="85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personnel-related expenses, including salaries, benefits, bonuses, and stock-based compensation expense;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field application engineering and software development costs associated with customer</w:t>
              <w:noBreakHyphen/>
              <w:t>driven bug fixes, feature enhancements, and improvements to reduce deployment complexity as we incorporate insights gained from customer evaluations into our product roadmap;</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third-party engineering and contractor costs;</w:t>
            </w:r>
          </w:p>
        </w:tc>
      </w:tr>
    </w:tbl>
    <w:tbl>
      <w:tblPr>
        <w:tblW w:w="1420" w:type="dxa"/>
        <w:jc w:val="left"/>
        <w:tblInd w:w="0" w:type="dxa"/>
        <w:tblLayout w:type="fixed"/>
        <w:tblCellMar>
          <w:top w:w="0" w:type="dxa"/>
          <w:left w:w="0" w:type="dxa"/>
          <w:bottom w:w="0" w:type="dxa"/>
          <w:right w:w="0" w:type="dxa"/>
        </w:tblCellMar>
      </w:tblPr>
      <w:tblGrid>
        <w:gridCol w:w="60"/>
        <w:gridCol w:w="110"/>
        <w:gridCol w:w="12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 equipment;</w:t>
            </w:r>
          </w:p>
        </w:tc>
      </w:tr>
    </w:tbl>
    <w:tbl>
      <w:tblPr>
        <w:tblW w:w="2785" w:type="dxa"/>
        <w:jc w:val="left"/>
        <w:tblInd w:w="0" w:type="dxa"/>
        <w:tblLayout w:type="fixed"/>
        <w:tblCellMar>
          <w:top w:w="0" w:type="dxa"/>
          <w:left w:w="0" w:type="dxa"/>
          <w:bottom w:w="0" w:type="dxa"/>
          <w:right w:w="0" w:type="dxa"/>
        </w:tblCellMar>
      </w:tblPr>
      <w:tblGrid>
        <w:gridCol w:w="60"/>
        <w:gridCol w:w="110"/>
        <w:gridCol w:w="261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engineering parts and test units;</w:t>
            </w:r>
          </w:p>
        </w:tc>
      </w:tr>
    </w:tbl>
    <w:tbl>
      <w:tblPr>
        <w:tblW w:w="3550" w:type="dxa"/>
        <w:jc w:val="left"/>
        <w:tblInd w:w="0" w:type="dxa"/>
        <w:tblLayout w:type="fixed"/>
        <w:tblCellMar>
          <w:top w:w="0" w:type="dxa"/>
          <w:left w:w="0" w:type="dxa"/>
          <w:bottom w:w="0" w:type="dxa"/>
          <w:right w:w="0" w:type="dxa"/>
        </w:tblCellMar>
      </w:tblPr>
      <w:tblGrid>
        <w:gridCol w:w="60"/>
        <w:gridCol w:w="110"/>
        <w:gridCol w:w="338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hardware and software expenses; and</w:t>
            </w:r>
          </w:p>
        </w:tc>
      </w:tr>
    </w:tbl>
    <w:tbl>
      <w:tblPr>
        <w:tblW w:w="3745" w:type="dxa"/>
        <w:jc w:val="left"/>
        <w:tblInd w:w="0" w:type="dxa"/>
        <w:tblLayout w:type="fixed"/>
        <w:tblCellMar>
          <w:top w:w="0" w:type="dxa"/>
          <w:left w:w="0" w:type="dxa"/>
          <w:bottom w:w="0" w:type="dxa"/>
          <w:right w:w="0" w:type="dxa"/>
        </w:tblCellMar>
      </w:tblPr>
      <w:tblGrid>
        <w:gridCol w:w="60"/>
        <w:gridCol w:w="110"/>
        <w:gridCol w:w="357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allocated personnel and overhead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R&amp;D costs are expensed as incurred. We expect our R&amp;D costs to increase as we continue to invest in product development, expanded product variations, and commercialization efforts; however, we anticipate these increases will occur at a more moderate pace relative to our investment in sales and marketing as we prioritize execution and near</w:t>
        <w:noBreakHyphen/>
        <w:t>term commercial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sales and marketing ("S&amp;M") efforts are focused primarily on sales, business development, and marketing programs in pursuit of revenue contracts from potential and existing customers. S&amp;M expenses include:</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10"/>
        <w:gridCol w:w="85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personnel-related expenses, including salaries, benefits, bonuses, and stock-based compensation expense;</w:t>
            </w:r>
          </w:p>
        </w:tc>
      </w:tr>
    </w:tbl>
    <w:tbl>
      <w:tblPr>
        <w:tblW w:w="2755" w:type="dxa"/>
        <w:jc w:val="left"/>
        <w:tblInd w:w="0" w:type="dxa"/>
        <w:tblLayout w:type="fixed"/>
        <w:tblCellMar>
          <w:top w:w="0" w:type="dxa"/>
          <w:left w:w="0" w:type="dxa"/>
          <w:bottom w:w="0" w:type="dxa"/>
          <w:right w:w="0" w:type="dxa"/>
        </w:tblCellMar>
      </w:tblPr>
      <w:tblGrid>
        <w:gridCol w:w="60"/>
        <w:gridCol w:w="110"/>
        <w:gridCol w:w="25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third party contractor costs;</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demonstration equipment;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system and tooling costs to support our sales and marketing organization, including CRM systems, marketing</w:t>
              <w:noBreakHyphen/>
              <w:t>automation and lead</w:t>
              <w:noBreakHyphen/>
              <w:t>generation tools, data</w:t>
              <w:noBreakHyphen/>
              <w:t>analytics platforms, and other software required to manage customer pipelines and enable our go</w:t>
              <w:noBreakHyphen/>
              <w:t>to</w:t>
              <w:noBreakHyphen/>
              <w:t>market strategy;</w:t>
            </w:r>
          </w:p>
        </w:tc>
      </w:tr>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shows expenses, advertising, promotion costs, website development, branding, and other public relations services; and</w:t>
            </w:r>
          </w:p>
        </w:tc>
      </w:tr>
    </w:tbl>
    <w:tbl>
      <w:tblPr>
        <w:tblW w:w="4090" w:type="dxa"/>
        <w:jc w:val="left"/>
        <w:tblInd w:w="0" w:type="dxa"/>
        <w:tblLayout w:type="fixed"/>
        <w:tblCellMar>
          <w:top w:w="0" w:type="dxa"/>
          <w:left w:w="0" w:type="dxa"/>
          <w:bottom w:w="0" w:type="dxa"/>
          <w:right w:w="0" w:type="dxa"/>
        </w:tblCellMar>
      </w:tblPr>
      <w:tblGrid>
        <w:gridCol w:w="60"/>
        <w:gridCol w:w="110"/>
        <w:gridCol w:w="39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allocated personnel and overhead expenses, net.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our S&amp;M expenses to increase as we pursue Non-Automotive opportunities to accelerate profitability while continuing to leverage our Tier 1 partners to commercialize our products and manage relationships with the OEMs in the Automotive market.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general and administrative ("G&amp;A") spending supports all business functions. G&amp;A expenses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personnel-related costs, including salaries, benefits, bonuses, and stock-based compensation expense for executive, finance, legal, operations, human resources, technical support, and other administrative personnel;</w:t>
            </w:r>
          </w:p>
        </w:tc>
      </w:tr>
    </w:tbl>
    <w:tbl>
      <w:tblPr>
        <w:tblW w:w="5380" w:type="dxa"/>
        <w:jc w:val="left"/>
        <w:tblInd w:w="0" w:type="dxa"/>
        <w:tblLayout w:type="fixed"/>
        <w:tblCellMar>
          <w:top w:w="0" w:type="dxa"/>
          <w:left w:w="0" w:type="dxa"/>
          <w:bottom w:w="0" w:type="dxa"/>
          <w:right w:w="0" w:type="dxa"/>
        </w:tblCellMar>
      </w:tblPr>
      <w:tblGrid>
        <w:gridCol w:w="60"/>
        <w:gridCol w:w="110"/>
        <w:gridCol w:w="521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consulting, accounting, audit, legal, and other professional fees;</w:t>
            </w:r>
          </w:p>
        </w:tc>
      </w:tr>
    </w:tbl>
    <w:tbl>
      <w:tblPr>
        <w:tblW w:w="7480" w:type="dxa"/>
        <w:jc w:val="left"/>
        <w:tblInd w:w="0" w:type="dxa"/>
        <w:tblLayout w:type="fixed"/>
        <w:tblCellMar>
          <w:top w:w="0" w:type="dxa"/>
          <w:left w:w="0" w:type="dxa"/>
          <w:bottom w:w="0" w:type="dxa"/>
          <w:right w:w="0" w:type="dxa"/>
        </w:tblCellMar>
      </w:tblPr>
      <w:tblGrid>
        <w:gridCol w:w="60"/>
        <w:gridCol w:w="110"/>
        <w:gridCol w:w="731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 premiums, software and computer equipment costs, general office expenses; and</w:t>
            </w:r>
          </w:p>
        </w:tc>
      </w:tr>
    </w:tbl>
    <w:tbl>
      <w:tblPr>
        <w:tblW w:w="4090" w:type="dxa"/>
        <w:jc w:val="left"/>
        <w:tblInd w:w="0" w:type="dxa"/>
        <w:tblLayout w:type="fixed"/>
        <w:tblCellMar>
          <w:top w:w="0" w:type="dxa"/>
          <w:left w:w="0" w:type="dxa"/>
          <w:bottom w:w="0" w:type="dxa"/>
          <w:right w:w="0" w:type="dxa"/>
        </w:tblCellMar>
      </w:tblPr>
      <w:tblGrid>
        <w:gridCol w:w="60"/>
        <w:gridCol w:w="110"/>
        <w:gridCol w:w="39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allocated personnel and overhead expenses,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our G&amp;A expenses to increase to support growth as we pursue Non-Automotive opportunities and as we continue to develop and commercialize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Change in Fair Value of Convertible Note and Warrant Liabilities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changes in fair value of the convertible note and warrant liabilities are the result of the change in fair value at each reporting date. The convertible note and warrant liabilities were recorded at fair value for each reporting period, and the changes in fair value were reported within other income (expense), net during the period. We also elected to record interest expense on the convertible note as changes in fair value. We have fully repaid the 2025 Note in 2025. We expect the change in fair value of warrant liabilities to decrease as the warrant associated with the 2022 Note was cancelled and the warrant associated with the 2025 Note was exercised in full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Interest Income, Interest Expense and Other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and other consists primarily of interest and investment income earned on our cash, cash equivalents, and marketable securities. These amounts will vary based on our cash, cash equivalents, and marketable securities balances and market rates. Interest income and other also includes gains on sale of property and equipment. Interest expense and other consists primarily of financing costs, amortization of premiums and accretion of discounts on marketable securities, net, and foreign exchange gains and losses.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Comparison of the three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results of operations presented below should be reviewed in conjunction with the condensed consolidated financial statements and notes included elsewhere in this report. The following table sets forth our consolidated results of operations data for the three months ended June 30, 2026 and 2025 (in thousands, except for percentages):</w:t>
      </w:r>
    </w:p>
    <w:p>
      <w:pPr>
        <w:pStyle w:val="TextBody"/>
        <w:bidi w:val="0"/>
        <w:spacing w:before="0" w:after="0"/>
        <w:ind w:left="0" w:right="0" w:hanging="0"/>
        <w:jc w:val="left"/>
        <w:rPr>
          <w:caps w:val="false"/>
          <w:smallCaps w:val="false"/>
        </w:rPr>
      </w:pPr>
      <w:r>
        <w:rPr>
          <w:caps w:val="false"/>
          <w:smallCaps w:val="false"/>
        </w:rPr>
        <w:t> </w:t>
      </w:r>
    </w:p>
    <w:tbl>
      <w:tblPr>
        <w:tblW w:w="9362" w:type="dxa"/>
        <w:jc w:val="left"/>
        <w:tblInd w:w="0" w:type="dxa"/>
        <w:tblLayout w:type="fixed"/>
        <w:tblCellMar>
          <w:top w:w="0" w:type="dxa"/>
          <w:left w:w="0" w:type="dxa"/>
          <w:bottom w:w="0" w:type="dxa"/>
          <w:right w:w="0" w:type="dxa"/>
        </w:tblCellMar>
      </w:tblPr>
      <w:tblGrid>
        <w:gridCol w:w="5075"/>
        <w:gridCol w:w="23"/>
        <w:gridCol w:w="200"/>
        <w:gridCol w:w="1041"/>
        <w:gridCol w:w="128"/>
        <w:gridCol w:w="36"/>
        <w:gridCol w:w="200"/>
        <w:gridCol w:w="873"/>
        <w:gridCol w:w="80"/>
        <w:gridCol w:w="23"/>
        <w:gridCol w:w="125"/>
        <w:gridCol w:w="545"/>
        <w:gridCol w:w="80"/>
        <w:gridCol w:w="23"/>
        <w:gridCol w:w="36"/>
        <w:gridCol w:w="629"/>
        <w:gridCol w:w="245"/>
      </w:tblGrid>
      <w:tr>
        <w:trPr/>
        <w:tc>
          <w:tcPr>
            <w:tcW w:w="507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4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vAlign w:val="center"/>
          </w:tcPr>
          <w:p>
            <w:pPr>
              <w:pStyle w:val="TableContents"/>
              <w:bidi w:val="0"/>
              <w:spacing w:before="0" w:after="0"/>
              <w:ind w:left="0" w:right="0" w:hanging="0"/>
              <w:jc w:val="left"/>
              <w:rPr/>
            </w:pPr>
            <w:r>
              <w:rPr/>
              <w:t>​</w:t>
            </w:r>
          </w:p>
        </w:tc>
      </w:tr>
      <w:tr>
        <w:trPr/>
        <w:tc>
          <w:tcPr>
            <w:tcW w:w="507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28" w:type="dxa"/>
            <w:tcBorders/>
            <w:vAlign w:val="center"/>
          </w:tcPr>
          <w:p>
            <w:pPr>
              <w:pStyle w:val="TableContents"/>
              <w:bidi w:val="0"/>
              <w:spacing w:before="0" w:after="0"/>
              <w:ind w:left="0" w:right="0" w:hanging="0"/>
              <w:jc w:val="left"/>
              <w:rPr/>
            </w:pPr>
            <w:r>
              <w:rPr/>
              <w:t>​</w:t>
            </w:r>
          </w:p>
        </w:tc>
        <w:tc>
          <w:tcPr>
            <w:tcW w:w="36" w:type="dxa"/>
            <w:tcBorders/>
            <w:vAlign w:val="center"/>
          </w:tcPr>
          <w:p>
            <w:pPr>
              <w:pStyle w:val="TableContents"/>
              <w:bidi w:val="0"/>
              <w:spacing w:before="0" w:after="0"/>
              <w:ind w:left="0" w:right="0" w:hanging="0"/>
              <w:jc w:val="left"/>
              <w:rPr/>
            </w:pPr>
            <w:r>
              <w:rPr/>
              <w:t>​</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w:t>
            </w:r>
          </w:p>
        </w:tc>
        <w:tc>
          <w:tcPr>
            <w:tcW w:w="128"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23"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c>
          <w:tcPr>
            <w:tcW w:w="128"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Gross loss</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23"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w:t>
            </w:r>
          </w:p>
        </w:tc>
        <w:tc>
          <w:tcPr>
            <w:tcW w:w="10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4,743</w:t>
            </w:r>
          </w:p>
        </w:tc>
        <w:tc>
          <w:tcPr>
            <w:tcW w:w="128"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w:t>
            </w:r>
          </w:p>
        </w:tc>
        <w:tc>
          <w:tcPr>
            <w:tcW w:w="87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6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1,147</w:t>
            </w:r>
          </w:p>
        </w:tc>
        <w:tc>
          <w:tcPr>
            <w:tcW w:w="128"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23"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4,704</w:t>
            </w:r>
          </w:p>
        </w:tc>
        <w:tc>
          <w:tcPr>
            <w:tcW w:w="128"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10,594</w:t>
            </w:r>
          </w:p>
        </w:tc>
        <w:tc>
          <w:tcPr>
            <w:tcW w:w="128"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8,619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23"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(10,755</w:t>
            </w:r>
          </w:p>
        </w:tc>
        <w:tc>
          <w:tcPr>
            <w:tcW w:w="12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 and warrant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w:t>
            </w:r>
          </w:p>
        </w:tc>
        <w:tc>
          <w:tcPr>
            <w:tcW w:w="128"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income and other</w:t>
            </w:r>
          </w:p>
        </w:tc>
        <w:tc>
          <w:tcPr>
            <w:tcW w:w="23"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w:t>
            </w:r>
          </w:p>
        </w:tc>
        <w:tc>
          <w:tcPr>
            <w:tcW w:w="10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w:t>
            </w:r>
          </w:p>
        </w:tc>
        <w:tc>
          <w:tcPr>
            <w:tcW w:w="128"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w:t>
            </w:r>
          </w:p>
        </w:tc>
        <w:tc>
          <w:tcPr>
            <w:tcW w:w="87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6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and other</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128"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23"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w:t>
            </w:r>
          </w:p>
        </w:tc>
        <w:tc>
          <w:tcPr>
            <w:tcW w:w="128"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before income tax</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(10,022</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income tax</w:t>
            </w:r>
          </w:p>
        </w:tc>
        <w:tc>
          <w:tcPr>
            <w:tcW w:w="23"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23"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(10,022</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increased by $180, or 818%, to $202 for the three months ended June 30, 2026, from $22 for the three months ended June 30, 2025. This increase is primarily due to the higher volume of ApolloTM lidar units sold and higher contract development revenues during the quarter.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Cost of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 of revenue increased by $255, or 236%, to $363 for the three months ended June 30, 2026, from $108 for the three months ended June 30, 2025. This increase was primarily due to the higher volume of product sales in the current quarter.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Operating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increased by $1,073, or 29%, to $4,743 for the three months ended June 30, 2026, from $3,670 for the three months ended June 30, 2025. This increase was primarily driven by an increase in personnel costs, net of allocations, of $307, increased fees paid to third party development work of $314, allocated information technology and facilities expense of $135, engineering parts and lab equipment and other research and development expenses of $271.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Sales and marketing expenses increased by $546, or 91%, to $1,147 for the three months ended June 30, 2026, from $601 for the three months ended June 30, 2025. This increase was primarily driven by increases in personnel costs, including allocations, of $159 and marketing, trade show and consultant expenses of $277 as we continue to invest in sales and marketing activities to build brand awareness and expand our commercial pipeline.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$356, or 8%, to $4,704 for the three months ended June 30, 2026, from $4,348 for the three months ended June 30, 2025. This increase was primarily driven by higher stock-based compensation of $1,230, partially offset by decreased personnel costs, net of allocations, of $448, and decreases in professional fees and stock related costs of $216.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Change in Fair Value of Convertible Note and Warrant Liabilities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 in fair value of convertible note and warrant liabilities decreased by $723 to $130 for the three months ended June 30, 2026, from $593 for the three months ended June 30, 2025. This decrease was primarily due to the change in fair value of the 2025 Note and warrants related to the 2025 Note and 2022 Note, which were fully settled or cancelled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 and Other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and other increased by $198, or 50%, to $591 for the three months ended June 30, 2026, from $393 for the three months ended June 30, 2025. This increase was primarily due to higher interest earned on our cash, cash equivalents, and marketable securities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Expense and Other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and other decreased by $377, to a net income of $12 for the three months ended June 30, 2026, from a net expense of $365 for the three months ended June 30, 2025. This decrease was primarily due to a decrease in costs related to financing arrangements of $134 and lower foreign exchange losses (gains), net, of $230.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loss increased by $752, or 8%, to $10,022 for the three months ended June 30, 2026, from $9,270 for the three months ended June 30, 2025. This increase was primarily due to higher stock-based compensation and increased engineering spend, partially offset by lower changes in fair value of convertible note and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Comparison of the six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results of operations presented below should be reviewed in conjunction with the condensed consolidated financial statements and notes included elsewhere in this report. The following table sets forth our consolidated results of operations data for the six months ended June 30, 2026 and 2025 (in thousands, except for percentages):</w:t>
      </w:r>
    </w:p>
    <w:p>
      <w:pPr>
        <w:pStyle w:val="TextBody"/>
        <w:bidi w:val="0"/>
        <w:spacing w:before="0" w:after="0"/>
        <w:ind w:left="0" w:right="0" w:hanging="0"/>
        <w:jc w:val="left"/>
        <w:rPr>
          <w:caps w:val="false"/>
          <w:smallCaps w:val="false"/>
        </w:rPr>
      </w:pPr>
      <w:r>
        <w:rPr>
          <w:caps w:val="false"/>
          <w:smallCaps w:val="false"/>
        </w:rPr>
        <w:t> </w:t>
      </w:r>
    </w:p>
    <w:tbl>
      <w:tblPr>
        <w:tblW w:w="9232" w:type="dxa"/>
        <w:jc w:val="left"/>
        <w:tblInd w:w="0" w:type="dxa"/>
        <w:tblLayout w:type="fixed"/>
        <w:tblCellMar>
          <w:top w:w="0" w:type="dxa"/>
          <w:left w:w="0" w:type="dxa"/>
          <w:bottom w:w="0" w:type="dxa"/>
          <w:right w:w="0" w:type="dxa"/>
        </w:tblCellMar>
      </w:tblPr>
      <w:tblGrid>
        <w:gridCol w:w="5075"/>
        <w:gridCol w:w="60"/>
        <w:gridCol w:w="165"/>
        <w:gridCol w:w="861"/>
        <w:gridCol w:w="106"/>
        <w:gridCol w:w="79"/>
        <w:gridCol w:w="165"/>
        <w:gridCol w:w="861"/>
        <w:gridCol w:w="80"/>
        <w:gridCol w:w="60"/>
        <w:gridCol w:w="125"/>
        <w:gridCol w:w="545"/>
        <w:gridCol w:w="80"/>
        <w:gridCol w:w="60"/>
        <w:gridCol w:w="87"/>
        <w:gridCol w:w="578"/>
        <w:gridCol w:w="245"/>
      </w:tblGrid>
      <w:tr>
        <w:trPr/>
        <w:tc>
          <w:tcPr>
            <w:tcW w:w="5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106"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loss</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10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8,508</w:t>
            </w:r>
          </w:p>
        </w:tc>
        <w:tc>
          <w:tcPr>
            <w:tcW w:w="106"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w:t>
            </w:r>
          </w:p>
        </w:tc>
        <w:tc>
          <w:tcPr>
            <w:tcW w:w="106"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8,882</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19,523</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(19,784</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and warrant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106"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w:t>
            </w:r>
          </w:p>
        </w:tc>
        <w:tc>
          <w:tcPr>
            <w:tcW w:w="106"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and other</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(18,365</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(18,367</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Revenues increased by $217, or 252%, to $303 for the six months ended June 30, 2026, from $86 for the six months ended June 30, 2025. This increase is primarily due to increased sales of our ApolloTM lidar units, partially offset by lower contract development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Cost of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 of revenue increased by $360, or 176%, to $564 for the six months ended June 30, 2026, from $204 for the six months ended June 30, 2025. This increase was primarily due to higher volumes of product sales during the year.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Operating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increased by $1,348, or 19%, to $8,508 for the six months ended June 30, 2026, from $7,160 for the six months ended June 30, 2025. This increase was primarily driven by an increase in personnel costs, net of allocations, of $844. The increase was also related to increased fees paid to third party development work of $347, engineering parts and lab equipment of $194, other research and development expenses of $279, and allocated information technology and facilities expense of $145. These increases were partially offset by a decrease in stock-based compensation expense of $496.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Sales and marketing expenses increased by $1,149, or 117% to $2,133 for the six months ended June 30, 2026, from $984 for the six months ended June 30, 2025. This increase was primarily driven by increases in personnel costs, net of allocations, of $519, and increased travel, marketing, trade show and consultant expenses of $510, as we continue to invest in sales and marketing activities to build brand awareness and expand our commercial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$1,639, or 23%, to $8,882 for the six months ended June 30, 2026, from $7,243 for the six months ended June 30, 2025. This increase was primarily driven by a favorable adjustment of $1,612 upon settlement of a lease dispute during the six months ended June 30, 2025. The increase was also due to higher stock-based compensation of $800, partially offset by decreases in personnel costs, net of allocations, of $198, professional fees and stock related costs of $409, and insurance expense of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Change in Fair Value of Convertible Note and Warrant Liabilities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 in fair value of convertible note and warrant liabilities decreased by $62 to a favorable change of $149 for the six months ended June 30, 2026, from a favorable change of $87 for the six months ended June 30, 2025. This decrease was primarily due to the change in fair value of the 2025 Note and warrants related to the 2025 Note and 2022 Note, which were fully settled or cancelled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 and Other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and other increased by $629, or 104%, to $1,236 for the six months ended June 30, 2026, from $607 for the six months ended June 30, 2025. This increase was primarily due to higher interest earned on our cash, cash equivalents, and marketable securities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Expense and Other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and other decreased by $2,507, to a net income of $34 for the six months ended June 30, 2026, from a net expense of $2,473 for the six months ended June 30, 2025. This decrease was primarily due to a decrease in costs related to financing arrangements of $2,020 and lower foreign exchange losses (gains), net, of $402.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loss increased by $1,081, or 6%, to $18,367 for the six months ended June 30, 2026, from $17,286 for the six months ended June 30, 2025. This increase was primarily due to increased facilities costs as a result of the favorable adjustment from the settlement of a lease dispute in the prior year.  The increase is also due higher  personnel costs and stock-based compensation, increased engineering spend and increased business development and marketing activities,  partially offset by decreased financing costs.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Sources of Liquidity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capital requirements will depend on many factors, including, but not exclusively, sales volume and timing of revenue, our efforts to establish and maintain a relationship with one or more Tier 1 automotive suppliers and the timing of any OEM design wins, our ability to effectively and efficiently manage our expenses, the timing and extent of spending to support R&amp;D efforts, how quickly we can commercialize our products, and the market adoption of new and enhanced products and features. To date, our principal sources of liquidity have been the proceeds received from the issuance of equity and convertible notes.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Shelf Registration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26, 2023, the U.S. Securities and Exchange Commission declared our Registration Statement on Form S-3 effective (the "Shelf"), which allows us to raise up to $200,000 in capital over the following three years. The use of the Shelf was subject to a limitation of one-third of our public float in any rolling twelve-month period, when our public float was below $75,000, which is commonly referred to as the “baby shelf" rules. Since July 28, 2025, we have not been subject to the "baby shelf" rules. Since the Shelf was established, we have used the Shelf to register the shares sold in the May 29, 2024 Registered Direct Offering and the September 12, 2024 A.G.P. Transaction, both of which are further described below. The Shelf is scheduled to expire in September 2026, and on May 19, 2026, we filed a replacement registration statement on Form S-3 (the “2026 Shelf”) to maintain our capacity to raise capital.  The 2026 Shelf registers the offering and sale, from time to time, of up to $200,000 of our common stock, preferred stock, debt securities, warrants, rights, and units, in one or more offerings. The 2026 Shelf had not been declared effective by the SEC as of the date of this Quarterly Report.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Dowslake Transaction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May 10, 2024, we entered into a Securities Purchase Agreement with Dowslake Microsystems Corporation, or Dowslake, pursuant to which Dowslake agreed to purchase 330,823 shares of common stock for a purchase price of $854, which represents a per share purchase price of $2.58, and an unsecured promissory note in the principal amount of $146 for an aggregate purchase price of $1,000.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New Circle Transaction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25, 2024, we entered into a Stock Purchase Agreement with New Circle Principal Investments LLC, or New Circle, pursuant to which we have the right, but not the obligation, to sell to New Circle, and New Circle is obligated to purchase, up to $50,000 of our common stock. Such sales of common stock by us, if any, may occur from time to time at our sole discretion, over a 36-month period. In December 2025, we terminated the agreement with New Circle. The termination was part of our broader effort to simplify our capital structure and reduce the number of outstanding financing instruments, while consolidating our equity financing capacity under our existing at</w:t>
        <w:noBreakHyphen/>
        <w:t>the</w:t>
        <w:noBreakHyphen/>
        <w:t>market facility, which we believe provides more operational flexibility and alignment with our long</w:t>
        <w:noBreakHyphen/>
        <w:t>term capital strategy. In total, we issued 8,980,713 shares of our common stock to New Circle under the agreement for gross proceeds totaling $27,754.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A.G.P. Transaction</w:t>
      </w:r>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12, 2024, we entered into an At Market Issuance Sales Agreement with Alliance Global Partners, or A.G.P., pursuant to which we may issue and sell through A.G.P., up to $2,600 of our common stock from time to time through an "at-the-market" equity offering program. In December 2025, we increased the aggregate amount available under the ATM program to $125,000, following multiple prior increases since the original agreement was entered into. Such sales of common stock by us, if any, may occur from time to time at our sole discretion, over a 36-month period. As of June 30, 2026, we have sold 24,070,541 shares under the ATM Agreement for gross proceeds totaling $70,412 and have remaining availability of $54,588.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2025 Convertible Note</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2025, we entered into a Securities Purchase Agreement to finance an aggregate principal amount of up to $3,240 with a certain institutional investor and issued (i) a senior unsecured convertible promissory note (the "2025 Note") for an aggregate purchase price of $3,000 and (ii) a warrant to purchase up to 805,263 shares of our common stock. The 2025 Note, subject to an original issue discount of 7.4%, had a term of eighteen months and accrued interest at the rate of 7.0% per annum. The 2025 Note was convertible into Common Stock, at a per share conversion price equal to $2.22, subject to adjustments noted in the 2025 Note. The Warrant had an exercise price of $2.22 and was exercisable after the six month and one day anniversary of its issuance (the “Initial Exercisability Date”) until for four years following the Initial Exercisability Date. These warrants were exercised in full on July 28, 2025. During the year ended December 31, 2025, the Company made cash payments of $989. Additionally, $2,591 in aggregate principal and interest were converted into 2,405,573 shares of common stock. The 2025 Note was fully paid in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Until we are able to generate sufficient revenue from the sale of our products to cover operating expenses, working capital, and capital expenditures, we expect the funds raised in the transactions described earlier, and other potential sources of capital, are sufficient to fund our near-term cash needs. If we are required to raise additional funds by issuing equity securities, dilution of stockholders will result. Any debt securities issued may also have rights, preferences, and privileges senior to those of holders of our common stock. The terms of debt securities or borrowings could impose significant restrictions on our operations. We may also be unable to raise additional capital through the sale of securities and debt financing, or to do so on terms that are favorable to us, particularly given the current capital market and overall macroeconomic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and 2025, we had a net loss of $18,367 and $17,286, respectively. We expect that our expenses will continue to exceed our operating income and, as a result, we may need additional capital resources to fund our operations. We believe we currently have sufficient financial resources to fund our operating expenses, working capital, and capital expenditure requirements for a period of at least twelve months from the date of this Quarterly Report on Form 10-Q. Our plans for the use of cash in the long term (beyond twelve months from this Quarterly Report on Form 10-Q) are primarily related to funding operating expenses to support the continued development and commercialization of our products. For additional information regarding our cash requirements from contractual obligations, see Note 16 to the Condensed Consolidated Financial Statements in Item 1of Part I of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Cash Flow Summary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2555"/>
        <w:gridCol w:w="23"/>
        <w:gridCol w:w="169"/>
        <w:gridCol w:w="880"/>
        <w:gridCol w:w="108"/>
        <w:gridCol w:w="31"/>
        <w:gridCol w:w="169"/>
        <w:gridCol w:w="880"/>
        <w:gridCol w:w="80"/>
      </w:tblGrid>
      <w:tr>
        <w:trPr/>
        <w:tc>
          <w:tcPr>
            <w:tcW w:w="255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5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 w:type="dxa"/>
            <w:tcBorders/>
            <w:vAlign w:val="center"/>
          </w:tcPr>
          <w:p>
            <w:pPr>
              <w:pStyle w:val="TableContents"/>
              <w:bidi w:val="0"/>
              <w:spacing w:before="0" w:after="0"/>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5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37"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vAlign w:val="center"/>
          </w:tcPr>
          <w:p>
            <w:pPr>
              <w:pStyle w:val="TableContents"/>
              <w:bidi w:val="0"/>
              <w:spacing w:before="0" w:after="0"/>
              <w:ind w:left="0" w:right="0" w:hanging="0"/>
              <w:jc w:val="left"/>
              <w:rPr/>
            </w:pPr>
            <w:r>
              <w:rPr/>
              <w:t>​</w:t>
            </w:r>
          </w:p>
        </w:tc>
      </w:tr>
      <w:tr>
        <w:trPr/>
        <w:tc>
          <w:tcPr>
            <w:tcW w:w="25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provided by (used in):</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108" w:type="dxa"/>
            <w:tcBorders/>
            <w:shd w:fill="CCEEFF" w:val="clear"/>
            <w:vAlign w:val="center"/>
          </w:tcPr>
          <w:p>
            <w:pPr>
              <w:pStyle w:val="TableContents"/>
              <w:bidi w:val="0"/>
              <w:spacing w:before="0" w:after="0"/>
              <w:ind w:left="0" w:right="0" w:hanging="0"/>
              <w:jc w:val="left"/>
              <w:rPr/>
            </w:pPr>
            <w:r>
              <w:rPr/>
              <w:t>​</w:t>
            </w:r>
          </w:p>
        </w:tc>
        <w:tc>
          <w:tcPr>
            <w:tcW w:w="31"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25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(15,842</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1"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(14,158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(17,530</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1"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1,226</w:t>
            </w:r>
          </w:p>
        </w:tc>
        <w:tc>
          <w:tcPr>
            <w:tcW w:w="108" w:type="dxa"/>
            <w:tcBorders/>
            <w:shd w:fill="FFFFFF" w:val="clear"/>
            <w:vAlign w:val="center"/>
          </w:tcPr>
          <w:p>
            <w:pPr>
              <w:pStyle w:val="TableContents"/>
              <w:bidi w:val="0"/>
              <w:spacing w:before="0" w:after="0"/>
              <w:ind w:left="0" w:right="0" w:hanging="0"/>
              <w:jc w:val="left"/>
              <w:rPr/>
            </w:pPr>
            <w:r>
              <w:rPr/>
              <w:t>​</w:t>
            </w:r>
          </w:p>
        </w:tc>
        <w:tc>
          <w:tcPr>
            <w:tcW w:w="31"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10,952</w:t>
            </w:r>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net cash used in operating activities was $15,842. Factors affecting operating cash flows during this period were net loss of $18,367, partially offset by stock-based compensation of $3,961 common stock purchase agreement costs of $233 and noncash lease expense relating to operating lease right-of-use assets of $193. Within operating activities, the net changes in operating assets and liabilities were cash used of $1,702, primarily driven by an increase in accounts receivable, net, of  $139, and decreases in accrued expenses and other liabilities, and operating lease liabilities of $2,054, and $201, respectively. Cash used was offset by cash provided by a decrease in prepaid and other current assets of $480 and an increase in accounts payable of $147.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2025, net cash used in operating activities was $14,158. Factors affecting operating cash flows during this period were a net loss of $17,286, a gain on termination of an operating lease, net, of $1,612, and change in fair value of convertible notes and warrant liabilities of $87, partially offset by stock-based compensation of $3,661, debt issuance costs of $2,020, and common stock purchase agreement costs of $306. Within operating activities, the net changes in operating assets and liabilities were cash used of $1,207, primarily driven by decreases in accrued expenses and other liabilities and operating lease liabilities of $1,522 and $1,532, respectively. Cash used was offset by cash provided by decreases in prepaid and other current assets and other noncurrent assets of $84 and $134, respectively, and an increase in accounts payable of $1,761.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net cash used in investing activities was $17,530. The primary factors affecting net cash used in investing activities during this period were purchases of marketable securities of $31,411 and property and equipment of $319. The cash outflow was partially offset by proceeds from the redemptions and maturities of marketable securities of $14,200.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2025, net cash used in investing activities was $4,686. The primary factors affecting net cash used in investing activities during the period were the purchases of marketable securities of $14,303 partially offset by redemptions and maturities of marketable securities of $9,631.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net provided by financing activities was $1,226. The primary factors affecting financing cash flows during this period were proceeds from the issuance of common stock under the common stock purchase agreement of $1,977 and through the Employee Stock Purchase Plan of $109, partially offset by taxes paid on net settlement of equity awards of $519 and payments of stock issuance costs related to common stock purchase agreement of $341.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2025, net cash provided by financing activities was $10,952. The primary factors affecting financing cash flows during this period were proceeds from common stock purchase agreement of $10,076 and from the issuance of a convertible note of $2,950, partially offset by payments on convertible note of $750, payments of debt issuance costs of $608, taxes paid on net settlement of equity awards of $364 and payments of stock issuance costs related to common stock purchase agreements of $404.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Critical Accounting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condensed consolidated financial statements are in accordance with GAAP. We are required to make estimates and assumptions that affect the reported amounts of assets and liabilities as of the date of the condensed consolidated financial statements, the reported amounts of revenues and expenses during the reporting periods, fair value measures, and the related disclosures in the condensed consolidated financial statements. Our actual results may differ significantly from these estimates due to changes in judgments, assumptions and conditions as a result of unforeseen events or otherwise, which could have a material impact on our financial position and results of operations. We believe our critical accounting estimates involve the greatest degree of judgment and complexity and have the greatest potential impact on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there were no significant changes in our critical accounting estimates as compared to those previously disclosed in “Critical Accounting Policies and Estimates” in “Management's Discussion and Analysis of Financial Condition and Results of Operations” included in our 2025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Note 1 to our condensed consolidated financial statements included elsewhere in this Quarterly Report on Form 10-Q for recently adopted accounting pronouncements as of the date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quant"/>
      <w:bookmarkEnd w:id="13"/>
      <w:r>
        <w:rPr>
          <w:rFonts w:ascii="Times New Roman" w:hAnsi="Times New Roman"/>
          <w:b/>
          <w:caps w:val="false"/>
          <w:smallCaps w:val="false"/>
          <w:sz w:val="20"/>
        </w:rPr>
        <w:t>Item 3. Quantitative and Qualitative Disclosures About Market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Quantitative and Qualitative Disclosures About Market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exposed to market risks in the ordinary course of our business. Market risk represents the risk of loss that may impact our financial position due to adverse changes in financial market prices and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Inflation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We are monitoring the current inflationary environment, particularly as it may be impacted by recent and proposed changes to tariffs and trade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had cash, cash equivalents, and marketable securities of $71,503, which consisted primarily of deposits in our bank accounts, money market funds, and marketable securities. Such interest-earning instruments carry a degree of interest rate risk. Our investment policy is focused on the preservation of capital and supporting our liquidity needs. We invest in highly rated securities, while limiting the amount of credit exposure to any one issuer other than the U.S. government. A hypothetical 100 basis point change in interest rates would not have a material impact on our financial condition or results of operations due to the short-term nature of our cash, cash equivalents and marketable securities. For information on the composition of our cash, cash equivalents, and marketable securities by instrument type and fair value level, refer to Note 2 to the Condensed Consolidated Financial Statements in Item 1 of Part I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Credit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concentration of credit risk is determined by evaluating each customer and each vendor that accounts for more than 10% of our accounts receivable and accounts payable, respectively. As of June 30, 2026, there were three customers accounting for 10% or more of our accounts receivable and one vendor accounting for 10% or more of our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perform credit evaluations as needed and generally do not require collateral for our customers. We analyze accounts receivable, historical percentages of uncollectible accounts, and changes in payment history when evaluating the adequacy of the allowance for doubtful accounts for potential credit losses on customers’ accounts. For the six months ended June 30, 2026 and 2025, we had write-offs of $0 and $2, respectively and recorded a provision for expected credit losses of $0 and $2, respectively.</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Foreign Currency Exchange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foreign currency exchange gains and losses have been generated primarily from fluctuations in the euro versus the U.S. dollar. The functional currency of all our entities is the U.S. dollar. Monetary assets and liabilities and transactions denominated in currencies other than an entity’s functional currency are remeasured into its functional currency using current exchange rates, whereas non-monetary assets and liabilities are remeasured using historical exchange rates. We recognize gains and losses from such remeasurements within interest income and other, or interest expense and other, as applicable on the condensed consolidated statements of operations and comprehensive loss in the period of occurrence. We have in the past experienced, and in the future expect to experience, foreign currency exchange gains and losses on our non-functional currency-denominated balances. Foreign currency exchange gains and losses could have a material adverse effect on our business, operating results and financial condition. To date, we have not engaged in exchange rate hedging activities, and we do not expect to do so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controls"/>
      <w:bookmarkEnd w:id="14"/>
      <w:r>
        <w:rPr>
          <w:rFonts w:ascii="Times New Roman" w:hAnsi="Times New Roman"/>
          <w:b/>
          <w:caps w:val="false"/>
          <w:smallCaps w:val="false"/>
          <w:sz w:val="20"/>
        </w:rPr>
        <w:t>Item 4.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Evaluation of Disclosure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established disclosure controls and procedures that are designed to ensure that the information required to be disclosed by us in the reports that we file or submit under the Exchange Act is recorded, processed, summarized, and reported within the time periods specified in SEC rules and forms and that such information is accumulated and communicated to management, including our principal executive officer and principal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principal executive officer and principal financial officer, we have evaluated the effectiveness of our disclosure controls and procedures as required under Rules 13a-15(e) and 15d-15(e) under the Exchange Act as of June 30, 2026. Based on this evaluation, our principal executive officer and principal financial officer have concluded that these disclosure controls and procedures were effective at the reasonable assurance level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Report on Internal Controls Over Financial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discussed in our 2025 Annual Report on Form 10-K, we concluded that our internal control over financial reporting was effective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Inherent Limitations on Effectiveness of Controls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including our principal executive officer and principal financial officer, has determined that our internal controls are reasonably designed and implemented to assure reliable financial reporting and preparation of our financial statements. However,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that occurred during the quarterly period ended June 30,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5" w:name="parttwo"/>
      <w:bookmarkEnd w:id="15"/>
      <w:r>
        <w:rPr>
          <w:rFonts w:ascii="Times New Roman" w:hAnsi="Times New Roman"/>
          <w:b/>
          <w:caps w:val="false"/>
          <w:smallCaps w:val="false"/>
          <w:sz w:val="20"/>
        </w:rPr>
        <w:t>PART II</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bookmarkStart w:id="16" w:name="legal"/>
      <w:bookmarkEnd w:id="16"/>
      <w:r>
        <w:rPr>
          <w:rFonts w:ascii="Times New Roman" w:hAnsi="Times New Roman"/>
          <w:b/>
          <w:caps w:val="false"/>
          <w:smallCaps w:val="false"/>
          <w:sz w:val="20"/>
        </w:rPr>
        <w:t>Item 1. Legal Proceedings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From time to time, we may become involved in actions, claims, suits, and other legal proceedings arising in the ordinary course of our business, including assertions by third parties relating to intellectual property infringement, breaches of contract or warranties, stockholder litigation, or employment-related matters. We are not currently a party to any actions, claims, suits, or other legal proceedings, the outcome of which, if determined adversely to us, would individually or in the aggregate have a material effect on our business, financial condition, and results of operations. For a description of developments to legal proceedings during the three months ended June 30, 2026, see Note 16, “Commitments and Contingencies” to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risk"/>
      <w:bookmarkEnd w:id="17"/>
      <w:r>
        <w:rPr>
          <w:rFonts w:ascii="Times New Roman" w:hAnsi="Times New Roman"/>
          <w:b/>
          <w:caps w:val="false"/>
          <w:smallCaps w:val="false"/>
          <w:sz w:val="20"/>
        </w:rPr>
        <w:t>Item 1A. Risk Factors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In conducting our business, we may face risks and uncertainties that may interfere with our business objectives. You should carefully consider the following risk factors, as well as all of the other information contained in this Quarterly Report, including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and our condensed consolidated financial statements and related notes thereto included elsewhere in this Quarterly Report. The risks and uncertainties below are not the only ones that we face. Additional risks and uncertainties that we are unaware of, or that we currently believe are not material, may also become important factors that adversely affect our business. The occurrence of any of the following risks, or others specified below, could materially and adversely affect our business, strategies, prospects, financial condition, results of operations, and cash flows. In such cases, the market price of our common stock could decline, and you could lose all or part of your investment.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Summary of Risk Factors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noted above, our business is subject to numerous risks and uncertainties, including those highlighted in this “</w:t>
      </w:r>
      <w:r>
        <w:rPr>
          <w:rFonts w:ascii="Times New Roman" w:hAnsi="Times New Roman"/>
          <w:i/>
          <w:caps w:val="false"/>
          <w:smallCaps w:val="false"/>
          <w:sz w:val="20"/>
        </w:rPr>
        <w:t>Risk Factors</w:t>
      </w:r>
      <w:r>
        <w:rPr>
          <w:rFonts w:ascii="Times New Roman" w:hAnsi="Times New Roman"/>
          <w:caps w:val="false"/>
          <w:smallCaps w:val="false"/>
          <w:sz w:val="20"/>
        </w:rPr>
        <w:t>” section, that represent challenges that we face in connection with the successful implementation of our strategy and growth of our business. The occurrence of one or more of the events or circumstances described in this “</w:t>
      </w:r>
      <w:r>
        <w:rPr>
          <w:rFonts w:ascii="Times New Roman" w:hAnsi="Times New Roman"/>
          <w:i/>
          <w:caps w:val="false"/>
          <w:smallCaps w:val="false"/>
          <w:sz w:val="20"/>
        </w:rPr>
        <w:t>Risk Factors</w:t>
      </w:r>
      <w:r>
        <w:rPr>
          <w:rFonts w:ascii="Times New Roman" w:hAnsi="Times New Roman"/>
          <w:caps w:val="false"/>
          <w:smallCaps w:val="false"/>
          <w:sz w:val="20"/>
        </w:rPr>
        <w:t>” section, alone or in combination with other events or circumstances, may have an adverse effect on our business, financial condition, results of operations, and prospects. Such risks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an early stage company with a history of losses and we expect to incur significant expenses and continuing losses for at least the next several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substantially rely on relationships with Tier 1 automotive suppliers and our business could be materially and adversely affected if we cannot establish or maintain relationships with one or more Tier 1 partners, or if we, through our relationship with various Tier 1 partners, are unable to obtain a sufficient number of design wins and successfully enter into definitive agreements or other commercial arrangements with automotive OEMs with respect to such design wins.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our deterministic artificial intelligence-driven sensing system is not selected for inclusion in ADAS, by any automotive OEMs or their suppliers, our business will be materially and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heavily rely on third-party suppliers and because some of the raw materials and key components in our products come from limited or single source suppliers, our ability to control the costs of such components and raw materials is uncertain; moreover, regardless of cost, we are susceptible to supply shortages and longer than anticipated lead times for components, either of which could disrupt our supply chain, could delay deliveries of our products to customers, and could negatively impact the adoption of our products and accordingly, our financial condition and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need to raise additional capital in order to execute our business plan and to respond to changing market conditions, which additional capital may not be available on terms acceptable to us, or at all, and if such additional capital were available to us, existing stockholders would experience dilution, which could be significant.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Our global supply chain and international customer base expose us to risks associated with tariffs, trade restrictions, trade tensions, and evolving international trade policies. Changes in U.S. or foreign government trade regulations, including the imposition of new tariffs or other retaliatory measures, could increase our costs, disrupt our supply chain, or limit our ability to sell products in certain markets, adversely affecting our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begun to pursue, and expect to continue to pursue, opportunities in new and adjacent markets, in which we have limited or no prior experience. Entering new markets requires additional investment, subjects us to new risks and compliance requirements, and may not be successful.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growing defense and government-related business subjects us to procurement, compliance, and funding risks that differ from those applicable to our commercial business, including risks relating to government appropriations, terminations for convenience, and audits.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and expose us to product liability and other claims, thereby adversely affecting our operating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Shareholder activism has caused us to incur significant additional expense, disrupted our business, and resulted in a proxy contest, all of which could negatively impact our stock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 Factors Relating to Our Business and Industry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an early stage company with a history of losses and we expect to incur significant expenses and continuing losses for at least the next few years.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incurred net losses in each year since our inception. In the six months ended June 30, 2026 and 2025, we incurred net losses of approximately $18.4 million and $17.3 million, respectively. We expect that we will continue to incur significant losses through at least the next few years as we: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continue to utilize our third-party partners for design, testing, and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expand our operations and supply chain capabilities to produce our lidar components and systems, including costs associated with outsourcing the production which, in some instances, requires significant upfront payments by us;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10"/>
        <w:gridCol w:w="46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expand our design, development, and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10"/>
        <w:gridCol w:w="59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 up inventories of parts and components for our lidar solutions; and</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10"/>
        <w:gridCol w:w="936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a level of general and administrative spending to meet the requirements of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had an accumulated deficit of approximately $425.4 million. Even if we are able to increase sales or licensing of our products, there can be no assurance that we will be commercially successful. Since we will incur the costs and expenses from these efforts prior to receiving incremental revenues with respect thereto, our losses in future periods may be significant. In the past, design wins, the first step towards commercialization with a particular OEM, have taken longer than originally expected. Similarly, in the Non-Automotive market, a proof-of concept, or POC, which usually occurs prior to the placement of a commercial order, is taking longer than expected, sometimes 12 months or more. Such delays, including delays that may occur in the future, will impact the timing of our revenue. 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model for the Automotive market substantially relies on us maintaining a relationship with one or more Tier 1 automotive suppliers; our business could be materially and adversely affected if we are unable to establish or maintain a relationship with one or more Tier 1 automotive suppliers, or even if we establish and maintain a relationship with one or more Tier 1 automotive supplies, if such Tier 1 automotive suppliers are unable to obtain a sufficient number of design wins and enter into definitive agreements or other commercial arrangements with automotive OEMs with respect to such design wins.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prospects in the Automotive market are substantially based on us establishing and maintaining a relationship with one or more Tier 1 automotive suppliers. In 2021, we entered into an agreement with a subsidiary of Continental AG, a well-established Tier 1 automotive supplier, pursuant to which Continental licensed from us the rights to manufacture and integrate our lidar solution into automotive OEM model lines through long-term series production contracts with automotive OEMs. In late 2023, Continental informed us that they intended to discontinue our joint lidar development program due to their internal restructuring. Thereafter, we engaged LITEON as our new Tier 1 automotive partner and are actively working with LITEON to bring our products to market. If we fail to establish or maintain a relationship with one or more Tier 1 automotive suppliers, it may have a material and adverse effect on our business. There can be no assurance that we will be able to establish or maintain a relationship with any Tier 1 automotive supplier, or, even if we are successful in doing so, that the Tier 1 automotive suppliers will be in a position to secure orders for our product designs and software. If we are unable to maintain or progress our relationship with a Tier 1 automotive supplier, or if any Tier 1 automotive supplier is unable to secure a sufficient number of design wins and enter into definitive agreements or other commercial arrangements with automotive OEMs, then our business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need to raise additional capital in order to execute our business plan and to respond to changing market conditions, which additional capital may not be available on terms acceptable to us, or at 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need to raise additional capital either by issuing equity, debt, or a combination of the two, in order to respond to market timing delays, technological advancements, competition, competitive technologies, customer demands, business opportunities, other challenges, potential acquisitions, unforeseen circumstances, or other reasons. In order to further business relationships with current or potential customers or partners, we may issue equity or equity-linked securities to such customers or partners. Despite the need for additional capital, we may not be able to timely secure additional debt or equity financing on favorable terms, or at all, especially given current market conditions where raising additional capital has proven particularly challenging. If we raise additional capital through the issuance of equity or convertible debt or other equity-linked securities or if we issue equity or equity-linked securities to current or potential customers to further our business relationships, our existing stockholders would likely experience dilution, which may be significant. Any debt financing obtained by us in the future could involve restrictive covenants relating to our capital 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when we require it, our ability to continue to support our business and to respond to business challenges could be significantly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existing shelf registration statement expires in September 2026, and if our replacement shelf registration statement is not declared effective in a timely manner, or if we become subject to “baby shelf” limitations, our ability to access the capital markets and fund our operations could be materially impaired.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ability to raise capital efficiently depends substantially on maintaining an effective shelf registration statement on Form S-3. Our existing shelf registration statement is scheduled to expire on September 26, 2026, upon the third anniversary of its effective date. On May 19, 2026, we filed a replacement registration statement on Form S-3 registering up to $200.0 million of securities. Because we filed the replacement registration statement before the expiration of our existing registration statement, we believe that, under Rule 415(a)(5) under the Securities Act, we may continue to offer and sell securities under the existing registration statement until the earlier of the effective date of the replacement registration statement and 180 days after the third anniversary of the effective date of the existing registration statement. On May 27, 2026, the staff of the SEC’s Division of Corporation Finance advised us that it had not reviewed, and did not intend to review, the replacement registration statement. The replacement registration statement will not become effective, however, until we request acceleration of its effective date in accordance with Rules 460 and 461 under the Securities Act and the SEC declares it effective. As of the date of this Quarterly Report, we had not yet requested acceleration of the effective date of the replacement registration statement and it had not been declared effective. Until the replacement registration statement is declared effective, we cannot sell securities under it, including under any new at-the-market equity offering program we may seek to establish thereunder, and our ability to raise capital may be limited until such effectiveness.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expect to request acceleration of the effective date of the replacement registration statement before our ability to use the existing registration statement lapses, we cannot assure you that the replacement registration statement will be declared effective on the timeline we anticipate, or at all. The SEC staff’s decision not to review the registration statement does not preclude the staff from subsequently reviewing or commenting on the registration statement or on the documents incorporated by reference therein, which could delay effectiveness or require us to amend the registration statement. We and our management remain responsible for the accuracy and adequacy of all disclosures contained therein and incorporated by reference. In addition, intervening events, including any failure by us to continue to satisfy the eligibility requirements for the use of Form S-3, could delay effectiveness or limit our ability to use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replacement shelf registration statement is not declared effective before our ability to offer and sell securities under the existing registration statement lapses, if we are required to register securities on Form S-1, or if we become subject to the limitations commonly known as the “baby shelf” rules because our public float falls below $75.0 million, which would limit the amount of securities we may sell under a shelf registration statement to one-third of our public float in any twelve-month period, we may be unable to raise capital on a timely basis or on acceptable terms, may be required to use more costly or dilutive alternatives, and may need to delay or curtail planned investments. Any of these outcomes could have a material adverse effect on our business, results of operations,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Any restructuring actions and cost reduction initiatives that we undertook, or may undertake in the future, may not deliver the results we expect, and these actions may adversely affect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2023, we have implemented multiple restructuring actions aimed at focusing the organization on the commercialization of our automotive products, while reducing fixed operating costs, including the elimination of our then-existing internal sales and marketing teams. Our capital light business model allows us to leverage one or more Tier 1 partners and their manufacturing capabilities, supply chains, OEM relationships to bring our products to market. In our Non-Automotive markets, including for our OPTIS™ platform, we may also seek to leverage the sales channels, customer relationships, and integration capabilities of our software, perception, and ecosystem partners to expand market reach. These restructurings could result in disruptions to our operations and adversely affect our business and our ability to maintain or obtain additional Tier 1 partners. For example, we are actively working with our current Tier 1 partner to pursue available opportunities and if our restructuring actions impede our ability to win these awards, this could materially impact our business. In addition, we cannot be sure that these cost reduction initiatives will be successful in reducing our overall expenses to the extent anticipated, or that unexpected costs will not offset any such reductions or related initiatives. If our operating costs are higher than we expect, or if we do not maintain adequate control of our costs and expenses, our operating results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financial results could vary significantly from quarter to quarter and are difficult to predict, particularly in light of the current economic environment, which in turn could cause volatility in our stock price.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quarterly results of operations have fluctuated in the past and may vary significantly in the future. As such, historical comparisons of our operating results may not be meaningful. In particular, because our sales in any given quarter can fluctuate based on the timing and success of our customers’ proof of concept and development projects. Accordingly, the results of any one quarter should not be relied upon as an indication of future performance. We base our current and future expense levels on our internal operating plans and sales forecasts, and our operating costs are to a large extent, fixed. As a result, we may not be able to reduce our costs sufficiently to compensate for an unexpected shortfall in revenues, and even a small shortfall in revenues could disproportionately and adversely affect financial results for that quarter. This was particularly true for 2023, as we implemented significant cost-reduction measures making it more difficult for us to further reduce our operating expenses without a material adverse impact on our prospects in future periods. We have and may continue to incur significant or unanticipated expenses related to long-lived asset impairments, inventory write-downs, and one-time termination benefits to restructure our business. For example, in 2023, we impaired $9.9 million of long-lived assets, wrote down $8.6 million of inventory and other current assets, and incurred $3.3 million of one-time termination benefit costs, primarily relating to our decision to wind down our legacy Non-Automotive product line as part of our effort to reduce fixed operating costs, focus operations, simplify supply chains, and streamline manufacturing.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quarterly financial results may fluctuate as a result of a variety of factors, many of which are outside of our control and may not fully reflect the underlying performance of our business. These fluctuations could adversely affect our ability to meet our expectations or those of securities analysts, ratings agencies, or investors. If we do not meet these expectations for any period, the value of our business and our securities could decline significantly.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Factors that may cause these quarterly fluctuations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60"/>
        <w:gridCol w:w="110"/>
        <w:gridCol w:w="65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and magnitude of orders and shipments of our products in any quarter;</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60"/>
        <w:gridCol w:w="110"/>
        <w:gridCol w:w="801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decreases in pricing we may adopt to drive market adoption or in response to competitive pressure;</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110"/>
        <w:gridCol w:w="92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retain our existing customers and strategic partners and attract new customers and strategic partners;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develop, introduce, manufacture, and ship, in a timely manner, products that meet customer requirements and expectations;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110"/>
        <w:gridCol w:w="816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in our sales channels or termination of our relationships with important channel partners;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delays in customers’ purchasing cycles or deferments of customers’ purchases in anticipation of new products or updates from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60"/>
        <w:gridCol w:w="110"/>
        <w:gridCol w:w="52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of charges related to impairments of long-lived assets;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110"/>
        <w:gridCol w:w="312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non-routine write-downs of inventory;</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10"/>
        <w:gridCol w:w="48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one-time termination benefits and other restructuring costs;</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10"/>
        <w:gridCol w:w="32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10"/>
        <w:gridCol w:w="51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mix of products sold or licensed by us in any given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duration or worsening of the military conflicts in Iran, Ukraine, and elsewhere in the Middle East, and the time it will take for the economic recovery for such impact to occur;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changing international trade policies, including the imposition or modification of tariffs, increasing trade tensions, and the implementation of potential trade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and rate of broader market adoption of ADAS or autonomous systems utilizing our solutions across the Automotive and other market sectors;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60"/>
        <w:gridCol w:w="110"/>
        <w:gridCol w:w="521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and scale of the market acceptance of lidar generally;</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0"/>
        <w:gridCol w:w="110"/>
        <w:gridCol w:w="698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technological advancements by our competitors and other market participants;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10"/>
        <w:gridCol w:w="85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of our customers and strategic partners to commercialize systems that incorporate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change in the competitive dynamics of our markets, including consolidation of competitors, regulatory developments, and new market entrants;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10"/>
        <w:gridCol w:w="62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effectively manage or outsource management of our inventory;</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0"/>
        <w:gridCol w:w="110"/>
        <w:gridCol w:w="99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the source, cost, availability of, and regulations pertaining to components and materials we use in our products;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10"/>
        <w:gridCol w:w="32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 of foreign currency fluctuations;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110"/>
        <w:gridCol w:w="94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litigation, judgments, settlements, or other litigation-related costs, or claims that may give rise to such costs; </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10"/>
        <w:gridCol w:w="62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economic, industry, and market conditions, including trade disputes.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limited operating history makes it difficult to evaluate our future prospects and the risks and challenges we may encounter.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been focused on developing our deterministic artificial intelligence-driven sensing system for vehicle autonomy, ADAS, and Non-Automotive applications since 2013. This relatively limited operating history makes it difficult to evaluate our future prospects and the risks and challenges we may encounter, which include our ability to:</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110"/>
        <w:gridCol w:w="338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 and commercialize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0"/>
        <w:gridCol w:w="110"/>
        <w:gridCol w:w="72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produce and deliver lidar and software products meeting acceptable performance metrics;</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10"/>
        <w:gridCol w:w="50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forecast our revenue and budget for and manage our expenses;</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60"/>
        <w:gridCol w:w="110"/>
        <w:gridCol w:w="42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attract new customers and retain existing customers;</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110"/>
        <w:gridCol w:w="41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 obtain, or progress strategic partnerships;</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10"/>
        <w:gridCol w:w="73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comply with existing and new or modified laws and regulations applicable to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for and manage capital expenditures for our current and future products, and manage our supply chain and supplier relationships related to our current and future products;</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10"/>
        <w:gridCol w:w="854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anticipate and respond to macroeconomic changes as well as changes in the markets in which we operate;</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10"/>
        <w:gridCol w:w="492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and enhance the value of our reputation and brand;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effectively manage our growth and business operations, including the lingering impacts of macroeconomic factors on our business, such as the wars in Iran, Ukraine, and elsewhere in the Middle East;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effectively manage our supply chain to address changing international trade policies, including tariffs, trade tensions, and potential trade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3895" w:type="dxa"/>
        <w:jc w:val="left"/>
        <w:tblInd w:w="0" w:type="dxa"/>
        <w:tblLayout w:type="fixed"/>
        <w:tblCellMar>
          <w:top w:w="0" w:type="dxa"/>
          <w:left w:w="0" w:type="dxa"/>
          <w:bottom w:w="0" w:type="dxa"/>
          <w:right w:w="0" w:type="dxa"/>
        </w:tblCellMar>
      </w:tblPr>
      <w:tblGrid>
        <w:gridCol w:w="60"/>
        <w:gridCol w:w="110"/>
        <w:gridCol w:w="372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 and protect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10"/>
        <w:gridCol w:w="63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hire, integrate, and retain talented people at all levels of our organization; and</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10"/>
        <w:gridCol w:w="61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successfully develop new solutions to enhance the experience of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fail to address the risks and difficulties that we face, including those associated with the challenges listed above as well as those described elsewhere in this “</w:t>
      </w:r>
      <w:r>
        <w:rPr>
          <w:rFonts w:ascii="Times New Roman" w:hAnsi="Times New Roman"/>
          <w:i/>
          <w:caps w:val="false"/>
          <w:smallCaps w:val="false"/>
          <w:sz w:val="20"/>
        </w:rPr>
        <w:t>Risk Factors</w:t>
      </w:r>
      <w:r>
        <w:rPr>
          <w:rFonts w:ascii="Times New Roman" w:hAnsi="Times New Roman"/>
          <w:caps w:val="false"/>
          <w:smallCaps w:val="false"/>
          <w:sz w:val="20"/>
        </w:rPr>
        <w:t>” section, our business, financial condition, and results of operations could be adversely affected. Further, because we have limited historical financial data and operate in a rapidly evolving market, any predictions about our future revenue and expenses may not be as accurate as those predictions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continue to implement strategic initiatives designed to grow our business. These initiatives may prove more costly than we currently anticipate and we may not succeed in increasing our revenue in an amount sufficient to offset the costs of these initiatives or to achieve and maintain profitability.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continue to make investments and implement initiatives designed to grow our business, including:</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10"/>
        <w:gridCol w:w="342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in R&amp;D and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10"/>
        <w:gridCol w:w="52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enhancing our manufacturing processes and partnerships;</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10"/>
        <w:gridCol w:w="32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protecting our intellectual property; and</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110"/>
        <w:gridCol w:w="999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in legal, accounting, and other administrative functions necessary to support our operations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initiatives may prove more expensive than we currently anticipate, and we may not succeed in increasing our revenue, if at all, in an amount sufficient to offset these higher expenses or to achieve and maintain profitability. The market opportunities we are pursuing are at an early stage of development, and it may be many years before the end markets we expect to serve generate demand for our products at scale, if at all. Our revenue may be adversely affected for a number of reasons, including the development and/or market acceptance of new technology that competes with our products, if automotive original equipment manufacturers, or automotive OEMs, Tier 1 automotive suppliers, or other market participants change their view towards autonomous vehicles or ADAS technologies or strategies (as Continental did at the end of 2023), the failure of our customers to commercialize autonomous systems that include our solutions, our inability to effectively manage or outsource the management of our inventory, manufacturing, or contract manufacturing of products at scale, our inability to enter new markets or to help our customers adapt our products for new applications, or our failure to attract new customers or secure production orders from existing customers currently analyzing our solutions, or increasing competition. Furthermore, it is difficult to predict the size and growth rate of our target markets, customer demand for our products, commercialization timelines, developments in autonomous sensing, developments in ADAS and related technologies, the entry of competitive products, or the success of existing competitive products and services. For these reasons, we do not expect to achieve profitability over the near term. If our revenue does not grow over the long term, our ability to achieve and maintain profitability may be adversely affected, and the value of our business may significantly decrease.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market price and trading volume of our common stock may be volatile and could decline significantly, including for matters related to Nasdaq listing standards.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stock markets, including Nasdaq on which we list our shares of common stock, have from time to time experienced significant price and volume fluctuations. Even if an active, liquid, and orderly trading market develops and is sustained for our common stock, the market price of our common stock may continue to be volatile and could decline significantly. As previously disclosed, on January 20, 2023, we received notice from Nasdaq that we were no longer in compliance with the $1.00 per share minimum bid price requirement for continued listing on Nasdaq. To ensure compliance with the minimum bid price requirement by January 16, 2024, we held a special meeting of stockholders on December 12, 2023, to consider and authorize our Board of Directors to effect a reverse stock split. Thereafter, the Board resolved to effect a reverse stock split of our issued common stock at a ratio of one-for-thirty (the "Reverse Stock Split"), and pursuant to that resolution, on December 26, 2023, we caused a Certificate of Amendment to our Second Amended and Restated Certificate of Incorporation, as amended, to be filed with the Secretary of State of the State of Delaware. The Reverse Stock Split became effective upon the filing of the Certificate and our common stock began trading on a split-adjusted basis on The Nasdaq Capital Market at the opening of trading on December 27, 2023. Companies that implement a reverse stock split often see a materially negative impact on their stock price.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previously disclosed, on March 11, 2025, we received notice from Nasdaq that we were no longer in compliance with the $1.00 per share minimum bid price requirement for continued listing on Nasdaq. On July 30, 2025, however, Nasdaq notified us that we had regained compliance with the requirement and that the matter was now closed. There can be no assurance that we will be able to maintain compliance with Nasdaq’s continued listing requirements in the future. In addition, the trading volume of our common stock has in the past, and may, in the future, fluctuate significantly, which can have a significant impact on the price of our common stock. If the market price of our common stock declines significantly, you may be unable to resell your shares at an attractive price, or at all. We cannot assure you that the market price of our common stock will not fluctuate widely or decline significantly in the future.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our deterministic artificial intelligence-driven sensing system is not selected for inclusion in ADAS technology by automotive OEMs or their suppliers, our business will be materially and adversely affected.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Automotive OEMs and their suppliers design and develop ADAS technology over several years. These automotive OEMs and suppliers undertake extensive testing or qualification processes prior to placing orders for large quantities of products, such as our lidar products, because such products will function as part of a larger system or platform and must meet specifications that we do not control or dictate. We have spent, and will continue to spend, significant time and resources to have our products selected by automotive OEMs and their suppliers, which we refer to as a “design win.” In the case of autonomous driving and ADAS technology, a design win means our lidar product has been selected for use in a particular vehicle model or models. If we do not achieve a design win with respect to a particular vehicle model, we may not have an opportunity to supply our products to the automotive OEM or its supplier for that vehicle model for a period of many years. In many cases, this period can be as long as five to seven years (or more). If our products are not selected by an automotive OEM or our suppliers for one vehicle model or if our products are not successful in that vehicle model, it is less likely that our product will be deployed in other vehicle models of that automotive OEM. If we fail to obtain design wins for a significant number of vehicle models from one or more automotive OEMs or their suppliers, our business, results of operations, and financial condition will be materially and adversely affected.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integration of our lidar technology into the NVIDIA DRIVE AGX platform does not guarantee that automotive OEMs will select our lidar technology for their ADAS or autonomous driving solutions, even if such automotive OEMs select the NVIDIA DRIVE AGX platform instead of the platform of one of NVIDIA’s competitors or a solution developed internally by the automotive OEM.  Moreover, if we are unable to achieve complete integration on current or future versions of the NVIDIA DRIVE AGX platform, that would severely impact our ability to support automotive OEMs adopting the NVIDIA DRIVE AGX platform. The NVIDIA DRIVE AGX platform supports a number of lidar sensors that are competitive to our solution and NVIDIA is expected to remain neutral with respect to the automotive OEM’s decision as to choice of lidar sensor for that automotive OEM’s solution.  It is difficult to predict how many automotive OEMs will ultimately adopt the NVIDIA DRIVE AGX platform.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forward-looking estimates of certain financial metrics may prove inaccurate.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various estimates in formulating our business plans. We base our estimates upon a number of assumptions that are inherently subject to significant business and economic uncertainties and contingencies, many of which are beyond our control. Our estimates therefore may prove inaccurate, causing the actual amount to differ from our estimates. These factors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10"/>
        <w:gridCol w:w="50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we meet contractual terms and conditions;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10"/>
        <w:gridCol w:w="734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our technology is successfully integrated into our customers’ vehicles;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of when our customers adopt our technology into their vehicles on a commercial basis which could be delayed for regulatory, safety, or reliability issues unrelated to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undetected or unknown errors, defects, or reliability issues in our hardware or software which could reduce the market adoption of our existing or new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business with respect to the failure or lack of commercial success of a vehicle model for which we are a significant supplier for reasons unrelated to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decline, for any reason, in the production levels of our customers, particularly with respect to models which incorporate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10"/>
        <w:gridCol w:w="33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cancellations of their contracts;</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10"/>
        <w:gridCol w:w="90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our products are included as part of a vehicle option package, the extent to which end customers select it;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10"/>
        <w:gridCol w:w="40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risk factors set forth in this Quarterly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period of time from a design win to implementation is long and we are subject to the risks of cancellation or postponement of the contract or unsuccessful implementation.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Prospective customers, including those in the automotive industry, generally must make significant commitments of resources to test and validate products like ours and confirm that they can integrate these products with other technologies before including them in any particular system, product, or model. The development cycles for our products with new customers varies widely depending on the application, market, customer, and the complexity of the product. In the Automotive market, for example, this development cycle can be five to seven years (or more). The development cycle in Non-Automotive markets can be months to one or two years (or more). These development cycles result in us investing our resources prior to realizing any revenue from commercialization. Further, we are subject to the risk that customers cancel or postpone implementation of our technology or our customers are unable to integrate our technology successfully into a larger system. If our customers face financial difficulties, they may also cancel current or future product programs that could materially and adversely impact our financial results. Further, our revenue could be less than forecasted if the system, product, or vehicle model that includes our lidar products is unsuccessful, including for reasons unrelated to our technology. Long development cycles and product cancellations or postponements may adversely affect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 significant portion of the components currently used in our products are manufactured abroad, which subjects us to various international risks and costs, including foreign trade issues, tariffs, trade wars, currency exchange rate fluctuations, shipment delays, supply chain disruptions, and political instability, any of which could adversely affect our business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the components found in our products are currently manufactured abroad. Relying on foreign-produced components subjects us to risks relating to changes in import duties, quotas, the potential for introduction of U.S. taxes on imported goods, the potential loss of “most favored nation” status with the U.S., and freight cost increases, as well as economic and political uncertainties, that could result in a trade war causing ever-increasing tariffs, although we have not seen a significant impact yet. We may also experience shipment delays caused by shipping port constraints, labor strikes, work stoppages, acts of war, including the current conflicts in Iran, Ukraine, and elsewhere in the Middle East, and terrorism, or other supply chain disruptions, including those caused by extreme weather, natural disasters, and pandemics or other public health concerns.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any of these or other factors, including trade tensions between the U.S. and other nations, including China and Russia, as a result of the wars in Iran, Ukraine, or otherwise, were to cause a disruption of trade from other countries, and in particular, Taiwan, our ability to source products, components, or raw materials could be adversely affected. We may need to seek alternative suppliers or vendors, which may not be available, or make changes to our operations, any of which could have a material adverse effect on our business, results of operations, or financial condition. Also, the prices charged by foreign manufacturers for production or the acquisition of raw materials or components, may be affected by the fluctuation of their local currency against the U.S. dollar, which could cause the cost of our products to increase and negatively impact our business. In addition, if the supply of components for our products becomes more limited than we anticipated, competition to acquire the limited supply of components will drive prices higher than planned, negatively impacting our cash flows and gross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products require key components and critical raw materials and our inability to reduce and control the cost of such components and raw materials could negatively impact the adoption of our products, and accordingly, our financial condition and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production of our components is dependent on sourcing certain key components and raw materials at an acceptable cost. We have experienced, and may continue to experience, supply chain-induced shortages of key components, leading to a scarcity of such components, a limited availability of such components at greatly inflated prices, or both. This scarcity and limited availability of components may be further exacerbated by increasing trade tensions around the globe. If we or our licensees or contract manufacturers are unable to adequately reduce and control the costs of such key components, we or they will be unable to realize manufacturing costs targets, which could reduce the market adoption of our products, damage our reputation with current or prospective customers, and have an adverse effect on our brand,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Continued pricing pressures, automotive OEM and Tier 1 supplier cost reduction initiatives, and the ability of automotive OEMs and Tier 1 suppliers to source alternatives or cancel vehicle or technology programs may result in lower than anticipated revenues, or cause substantial losses, which may adversely affect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Cost-cutting initiatives adopted by our customers may result in continued downward pressure on pricing. Our agreements with automotive OEMs and Tier 1 suppliers may require step-downs in pricing over the term of the agreement or if commercialized, over the period of production. In addition, our automotive OEM and Tier 1 suppliers often reserve the right to terminate their supply contracts for convenience, which enhances their ability to obtain price concessions. Automotive OEMs and Tier 1 suppliers also possess significant leverage over their suppliers, including us, because the automotive component supply industry is highly competitive, serves a limited number of customers, and has a high fixed cost base. See also the risk factor entitled, “</w:t>
      </w:r>
      <w:r>
        <w:rPr>
          <w:rFonts w:ascii="Times New Roman" w:hAnsi="Times New Roman"/>
          <w:i/>
          <w:caps w:val="false"/>
          <w:smallCaps w:val="false"/>
          <w:sz w:val="20"/>
        </w:rPr>
        <w:t>We operate in a highly competitive market involving emerging technology. We compete against a number of competitors, some of whom have substantially greater resources than us</w:t>
      </w:r>
      <w:r>
        <w:rPr>
          <w:rFonts w:ascii="Times New Roman" w:hAnsi="Times New Roman"/>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Automotive OEMs, like many manufacturers, are price sensitive to components used in their end products. We and our Tier 1 suppliers are sensitive to the cost we quote to such automotive OEMs to mitigate the risk of being eliminated from contention based solely on price. Despite our efforts, and the efforts of our Tier 1 suppliers, to reduce the overall cost of our products, we are not always able to achieve the cost targets we are seeking. The inability to reach our cost targets could have a material adverse impact on our ability to gain market acceptance for our products, regardless of the ability of our products to achieve the automotive OEMs’ specifications.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Accordingly, we expect to be subject to substantial and continuing pricing pressure from automotive OEMs, Tier 1 suppliers, and lidar competitors, which may impact the revenue we receive from licensing our product designs or selling our products. In particular, because automotive lidar technology appears to have been successfully commercialized in China, our competitors in that market have likely gained experience and efficiencies, including cost efficiencies, that often come with productization that suppliers outside of China, including us, do not have. Although trade barriers may prevent some Chinese lidar suppliers from entering Western lidar markets, to the extent Chinese lidar sensors enter Western markets, competitive pricing pressures on us would likely increase. It is possible that pricing pressures beyond our expectations could intensify as automotive OEMs, Tier 1 suppliers, and lidar competitors pursue restructuring, consolidation, and cost-cutting initiatives. If we are unable to identify sufficient design cost savings to meet the expectations of automotive OEMs and Tier 1 suppliers, our revenue and profitability would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expect to continue investing in R&amp;D and commercializing new products, which could significantly reduce our profitability and may never result in revenue to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growth depends on penetrating new markets, adapting existing products to new applications and customer requirements, achieving volume-based component price reductions, and introducing new products that achieve market acceptance. We expect to continue to incur R&amp;D costs as part of our efforts to design, develop, manufacture, and commercialize new products and enhance existing products. Our R&amp;D expenses were approximately $8.5 million and $7.2 million during the six months ended June 30, 2026 and 2025, respectively, and may increase in the future. Because we account for R&amp;D as an operating expense, these expenditures will adversely affect our results of operations in the future. Further, our R&amp;D program may not produce successful results, and our new products may not achieve market acceptance, create additional revenue, or become profitable.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July 2025 we introduced OPTIS™, a full-stack physical AI solution for the Non-Automotive market.  For OPTIS™ to be successful it will require that we find and integrate the products of partners who have created compatible perception, analytics, and other relevant software products and are willing to integrate those products onto the OPTIS™ platform.  If we are unable to find software partners that will allow us to incorporate their products into OPTIS™ or the partners we do obtain are not acceptable to our customers, OPTIS™ may not be successful.  OPTIS™ is a new product that has not been offered before and therefore overall market acceptance is unknown.  As is common with new and complex products incorporating leading-edge technologies, we may encounter reliability, compatibility, design, or manufacturing issues as we begin volume production and initial installations at customer sites. We also run the risk that the third-party software we incorporate into OPTIS™ will not function as intended, which would negatively impact the market perception of OPTIS™.  There can be no assurance that we will discover any reliability, compatibility, design, or manufacturing issues prior to sale or, that if such issues arise after a sale, that the issue can be resolved to the customers’ satisfaction or that the resolution of such problems will not cause us to incur significant additional development costs or warranty expenses or to cause us to lose significant sales opportunities.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2026 we introduced STRATOS™, which was specifically designed to address markets requiring the ability to detect objects at distances of up to 1.5 kilometers, such as in aviation, defense, and rail.  For STRATOS™ to be successful, it will require market adoption in industries that can benefit from ultra-long-range detection.  As with OPTIS™, because STRATOS™ is a new product that has not been previously offered, market acceptance is unknown.  Moreover, as STRATOS™ is manufactured and deployed, we may encounter reliability, compatibility, design, or manufacturing issues.  There can be no assurances that any such issues will be discovered prior to sale, or that is such issues arise after a sale, that the issue can be resolved to the satisfaction of the customer or that the resolution will not cause us to incur significant additional development or warranty expenses or cause us to lose significant sales opportunities.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strategic partnerships may not result in OEM program wins or commercial success, and the success of our OPTIS</w:t>
      </w:r>
      <w:r>
        <w:rPr>
          <w:rFonts w:ascii="Times New Roman" w:hAnsi="Times New Roman"/>
          <w:caps w:val="false"/>
          <w:smallCaps w:val="false"/>
          <w:sz w:val="20"/>
        </w:rPr>
        <w:t xml:space="preserve">™ </w:t>
      </w:r>
      <w:r>
        <w:rPr>
          <w:rFonts w:ascii="Times New Roman" w:hAnsi="Times New Roman"/>
          <w:b/>
          <w:i/>
          <w:caps w:val="false"/>
          <w:smallCaps w:val="false"/>
          <w:sz w:val="20"/>
        </w:rPr>
        <w:t>strategy depends on attracting developers and partners to expand our ecosystem.</w:t>
      </w:r>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strategic partnerships, such as our collaboration with NVIDIA, to enhance the capabilities and market reach of our lidar solutions and to facilitate integration with broader intelligent infrastructure platforms. While these partnerships may help position our technology for adoption by OEM and other end customers, there can be no assurance that our collaborations will result in design wins, commercial agreements, or large-scale adoption by OEMs or other customers. The integration of our lidar technology into platforms such as NVIDIA DRIVE AGX is an important milestone, but it does not guarantee that automotive OEMs or Tier 1 suppliers will select our solutions for their production programs, or that such programs will be successful or generate significant revenue for us. Delays, changes in OEM strategies, or the selection of competing technologies could materially and adversely affect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success of our recently launched OPTIS™ product is highly dependent on our ability to attract and engage a broad ecosystem of software developers, technology partners, and third-party solution providers. If we are unable to attract a critical mass of software developers, or if third-party partners do not adopt or support our platform, the potential and value of OPTIS™ may be diminished, and we may not achieve the anticipated growth of our business or technology. Furthermore, the development of a robust ecosystem requires significant investment of time and resources, and there is no guarantee that these efforts will be successful or that the ecosystem will reach the scale necessary to drive meaningful revenue or market adoption.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we are observing increased customer demand for fully integrated, end-to-end solutions rather than discrete components. While we believe our OPTIS™ platform is designed to address this demand, the process of integrating third-party perception, analytics, and other software with our hardware platform is technically complex and can be time-consuming, with no guarantee that any particular integration will be completed successfully or on the timeline we anticipate. Our success in addressing these markets will depend on our ability to (i) source and engage qualified partners, (ii) build, validate, and support compelling integrated solutions, and (iii) effectively market and sell those solutions to end customers. A failure or delay in any of these areas could limit our growth in our Non-Automotive markets and impair the value of our OPTIS™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inability to secure OEM program wins through our partnerships, or to successfully build and expand the OPTIS™ ecosystem,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have begun to pursue, and expect to continue to pursue, opportunities in new and adjacent markets in which we have limited or no prior experience, and these efforts require significant investment, subject us to new regulatory and compliance requirements, may divert resources from our existing business, and may not be successful.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part of our strategy to expand within Non-Automotive markets, we have begun pursuing, and expect to continue to pursue, opportunities in new and adjacent markets. We have limited or no prior experience designing, qualifying, marketing, selling, or supporting products for these markets. Each new market presents distinct technical requirements, performance and environmental specifications, customer expectations, procurement practices, sales cycles, and competitive dynamics, and addressing these requirements can be time-consuming and costly. Pursuing these opportunities requires significant investment of management attention and financial, engineering, and other resources, which may divert resources from our Automotive and other Non-Automotive markets. These investments may prove more costly than we currently anticipate and may never generate revenue sufficient to offset their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New markets may also subject us to legal, regulatory, contractual, and other compliance requirements with which we have limited experience. Some new markets may require our products to be qualified or certified for use in demanding operating environments, may subject us to government contracting and procurement requirements, including requirements that flow down from prime contracts relating to intellectual property and data rights, cybersecurity, and the safeguarding of sensitive information, or may implicate additional or more restrictive export control requirements applicable to certain products and related technology. Complying with these requirements may be lengthy, costly, and uncertain, and may require substantial modifications to our products, supply chain, manufacturing operations, compliance programs, or contractual arrangements with our partners. There is no assurance that we will be able to achieve or maintain compliance in all respects, and any failure to do so could limit our opportunities in such market or subject us to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these markets are new to us, and because in some cases the use of lidar in these markets is itself new and unproven, it is difficult to predict the level of customer demand, adoption rates, sales cycles, or the size and timing of the market opportunities. Prospective customers in new markets may be in testing, development, or demonstration phases and may never place commercial orders. There can be no assurance that our pursuit of any new market will be successful, that we will secure design wins, contract awards, or commercial orders, or that any revenue generated from new markets will justify the investments we make. If we are unable to successfully enter new markets, or if we do so on a delayed basis or at greater cost than we anticipate, our business, results of operations, financial condition, and prospects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growing defense and government-related business subjects us to procurement, compliance, and funding risks that differ from those applicable to our commercial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defense and aerospace market has become our most active market vertical, and we expect sales into defense and other government-related programs to represent a growing share of our revenue. Sales into these programs, whether made directly or through prime contractors, integrators, or distribution partners, subject us to requirements that do not apply to our commercial business and with which we have limited operating experience. These include the Federal Acquisition Regulation and the Defense Federal Acquisition Regulation Supplement and the flow-down provisions our partners may impose on us; domestic-content, supply-chain, and sourcing restrictions, including those arising under the National Defense Authorization Act and related procurement rules; cybersecurity and information-safeguarding obligations, including the Cybersecurity Maturity Model Certification framework; facility and personnel security requirements; and specialized quality, testing, and qualification standards. Compliance with these requirements may require us to make investments in systems, personnel, and processes that we have not historically maintained, and we may not be able to satisfy these requirements on the timelines our customers require,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Government-related programs are also subject to funding and procurement risks outside of our control. Program funding depends on appropriations that may be reduced, delayed, or eliminated, including as a result of shifting policy priorities, continuing resolutions, or a lapse in appropriations. Contracts and subcontracts may permit termination for convenience, in which case we may recover only limited costs, and may be modified, descoped, or recompeted. In addition, we and our partners may be subject to audits, reviews, and investigations relating to pricing, cost accounting, quality, or compliance, which can result in contract adjustments, withheld payments, penalties, or suspension or debarment from future government business. Because our defense and government-related engagements are concentrated among a small number of customers and programs, an adverse outcome affecting any one of them could disproportionately affect our results. Any of the foregoing could have a material adverse effect on our business, results of operations,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lidar-based sensing system can be applied to different use cases across end markets. Despite the fact that the automotive industry has expended considerable effort to research and test lidar products for ADAS and autonomous driving applications, the automotive industry may not introduce lidar products in commercially available vehicles on a time frame that matches our expectations, or at all. We have experienced a number of instances where potential automotive OEMs have delayed their programs for the inclusion of lidar in their end products. We continually study emerging and competing sensing technologies and methodologies and we may incorporate new sensing technologies to our product portfolio over time. However, lidar products for use in the Automotive market remain relatively new and it is possible that other sensing modalities, or a new disruptive modality based on new or existing technologies, including a combination of technologies, will achieve acceptance or leadership in the ADAS and autonomous driving space. Even if lidar products are used in initial generations of autonomous driving technology and ADAS products, we cannot guarantee that lidar products will be designed into or included in subsequent generations of such commercialized technology. The speed of market adoption and growth for ADAS or autonomous vehicles is difficult, if not impossible, to predict, and it is more difficult to predict this market’s future growth in light of the economic consequences of unresolved global conflicts and increasing trade tensions, as well as other macroeconomic factors. Although we currently believe we have a differentiated market leading technology for the autonomous vehicle market, by the time mass market adoption of autonomous vehicle technology is achieved, we expect competition among providers of sensing technology based on lidar and other modalities to increase substantially. If, by the time autonomous vehicle technology achieves mass market adoption, commercialization of lidar products is not successful, or not as successful as we or the market currently expects, or if other sensing modalities gain acceptance by developers of ADAS products, automotive OEMs, regulators, safety organizations, or other market participants, our business, results of operations, and financial condition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Over the longer term, we believe that our overall revenue growth, if any, will depend in part on our ability to expand within Non-Automotive markets such as aerospace and defense, shuttle, delivery vehicle, drone, railway, intelligent transport, mining and other markets as they emerge. Each of these markets presents distinct risks and, in many cases, requires that we expend our resources to address the particular requirements of that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Addressing these requirements can be time-consuming and costly. The market for lidar technology is relatively new, rapidly developing, and unproven in many markets and industries. Many of our prospective customers are still in the testing and development phases and we cannot be certain that they will commercialize products or systems with our lidar products, or at all. We cannot be certain that lidar will be sold into these markets, or that lidar will be sold into any markets at scale. Adoption of lidar products, including our products, will depend on numerous factors, including whether the technological capabilities of lidar and lidar-based products meet users’ current or anticipated needs, whether the benefits associated with designing lidar into larger sensing systems outweighs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such as us can keep pace with the expected rapid technological change in certain developing markets, and the global response to unresolved global conflicts and increasing trade tensions, as well as other macroeconomic factors, and the length of any associated economic recovery. If lidar technology does not achieve commercial success, or if adoption of lidar is deferred or the market otherwise develops at a pace slower than we expect, our business, results of operations, and financial condition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experience difficulties in managing our growth and expanding our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Over the long term, we may experience significant growth in the scope and nature of our operations. Our ability to manage our operations and future growth will require us to continue to improve our operational, financial, and management controls, legal and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In addition, we currently operate with a limited number of employees, particularly in sales, marketing, and customer support. This limited resourcing could constrain our ability to scale operations, meet customer demand, and execute on growth opportunities if interest in our technology exceeds expectations. Failure to adequately expand and support these functions as interest increases could negatively impact our ability to achieve our strategic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rely on third-party suppliers and because some of the raw materials and key components in our products come from limited or single source suppliers, we are susceptible to supply shortages, longer than anticipated lead times for components, and supply changes, any of which could disrupt our supply chain and could delay deliveries of our products to customers.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the components that go into the manufacturing of our solutions are sourced from third-party suppliers. To date, we have produced our products in relatively limited quantities for use in R&amp;D programs. Although we do not have any experience in managing our supply chain to manufacture and deliver our products at scale, our future success will depend on our ability to do so. Some of the key components used to manufacture our products come from limited or single source suppliers, which includes components only produced in countries, such as China, that some customers, for a variety of reasons, may be unable or unwilling to purchase from us. We are therefore subject to the risk of shortages and long lead times in the supply of these components and the risk that our suppliers discontinue or modify components used in our products. As we rely on a global supply chain, the potential for other epidemics and outbreaks of contagions, should they materialize, unresolved and continuing global conflicts, and increasing trade tensions, as well as other macroeconomic factors may adversely affect our ability to source components in a timely or cost-effective manner from our third-party suppliers due to, among other things, work stoppages or interruptions. For example, our products depend on lasers. Any shortage in the availability of these lasers could materially and adversely affect our ability to manufacture our solutions. In addition, the lead times associated with certain components are lengthy and preclude rapid changes in quantities and delivery schedules. While we have entered into agreements with some suppliers for the supply of certain components at set prices, such quantities are limited given we are not yet producing at scale. Therefore, we have in the past experienced, and may in the future experience, component shortages and significant price fluctuations of key components and materials, and the predictability of the availability and pricing of these components may be limited. Component shortages or pricing fluctuations could be material in the future, which could be exacerbated by employee retention issues at any of our suppliers.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we are able to do so such that we will be required to absorb some or all of the increased cost. If we are unable to buy these components in sufficient quantities to meet our requirements on a timely basis, we will not be able to deliver products to our customers, which may result in such customers using competitive products instead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face risks associated with our reliance on certain deterministic artificial intelligence and machine learning models.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deterministic artificial intelligence and machine learning models in the development of our solutions for vehicle autonomy, ADAS, and Non-Automotive applications. The models that we use are developed or trained using various data sets. If the models are incorrectly designed, the data we use to train them is incomplete, inadequate, or biased in some way, or if we do not have sufficient rights to use the data on which our models rely, the performance of our products, services, and business, as well as our reputation, could suffer or we could incur liability through the violation of laws, third-party privacy or other rights, or contracts to which we are a party.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investments in artificial intelligence may not yield the benefits we expect, and we may be at a disadvantage relative to competitors with greater resources to invest in artificial intelligence.</w:t>
      </w:r>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making, and expect to continue to make, investments in artificial intelligence to drive operational efficiency, improve the performance of our lidar and software solutions, and enhance our research and development productivity. The artificial intelligence landscape is evolving rapidly, and there can be no assurance that our investments will yield the benefits we anticipate, that we will be able to successfully integrate artificial intelligence capabilities into our products or operations, or that any benefits realized will be sustained over time. In addition, certain of our competitors and other industry participants have substantially greater financial, engineering, and data resources than we do, and may be able to invest in and deploy artificial intelligence capabilities at a scale that we cannot match. If our artificial intelligence investments do not produce the intended benefits, or if competitors deploy more advanced or cost-effective artificial intelligence capabilities than we are able to deploy, our competitive position, results of operations, and prospects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Increasing legislative and regulatory focus on artificial intelligence, including scrutiny of AI-driven safety systems, could subject us or our customers to new compliance obligations, delay the adoption of systems that incorporate our products, and adversely affect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Legislators and regulators in the United States and other jurisdictions are increasingly focused on the development, deployment, and use of artificial intelligence, and the legal and regulatory landscape governing artificial intelligence is evolving rapidly and remains uncertain. For example, the European Union’s Artificial Intelligence Act imposes obligations on providers and users of certain artificial intelligence systems, including systems that function as safety components of regulated products, and various U.S. federal and state legislative and regulatory initiatives target artificial intelligence systems, including those used in safety-critical applications such as automated driving. Because our sensing system is driven by deterministic artificial intelligence, and because our customers may incorporate our products into ADAS, autonomous driving, and other safety-related systems that rely on artificial intelligence and machine learning, these developments could subject us or our customers to new compliance, testing, certification, transparency, data governance, human oversight, documentation, or risk-management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Compliance with these requirements, and with any additional requirements our customers impose in order to satisfy their own obligations under these frameworks, could increase our development and compliance costs, require modifications to our products or development processes, extend qualification timelines, delay or complicate our customers’ development and commercialization programs, or delay regulatory approval or market adoption of AI-driven safety systems that incorporate our products. Regulatory uncertainty may also cause customers to delay or forgo deployments of systems that incorporate our products. Regulators may also increase their scrutiny of AI-driven safety systems in response to accidents or other safety events involving such systems generally, which could result in new restrictions, reporting obligations, recalls, or deployment delays even where our products perform as intended. In addition, evolving regulatory frameworks may not distinguish among different artificial intelligence architectures, and our deterministic approach may become subject to requirements designed for other types of artificial intelligence systems. If we or our customers are unable to comply, or are perceived as unable to comply, with evolving artificial intelligence laws and regulations in a timely and cost-effective manner, or if such laws and regulations delay or reduce the adoption of systems that incorporate our products, our business, results of operations, financial condition, and prospects could be materially and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depend on third-party platforms and ecosystems, including the NVIDIA DRIVE AGX platform, and changes to those platforms, the loss of compatibility or support, or changes in the strategies of platform providers could materially and adversely affect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commercialization of our lidar solutions depends in part on their integration with, and continued compatibility with, third-party platforms and ecosystems, including the NVIDIA DRIVE AGX platform in the Automotive market and the third-party perception, analytics, and other software integrated into our OPTIS™ platform in Non-Automotive markets. We do not control the design, development roadmaps, release schedules, technical requirements, certification processes, or commercial strategies of these third-party platforms. Platform providers may modify their platforms in ways that require us to expend significant engineering resources to maintain compatibility, may deprecate features or interfaces on which our integrations rely, may decline to support current or future versions of our products, may prioritize or favor competing lidar sensors or alternative sensing modalities, may develop competing solutions of their own, or may discontinue their platforms or exit the relevant markets entirely.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achieve or maintain integration with these platforms on a timely and cost-effective basis, or at all, or if platform providers change their strategies in ways that are adverse to us, our ability to support customers that have adopted those platforms would be impaired, and those customers may select competing products that are better supported on such platforms. In addition, our reliance on third-party platforms means that problems affecting those platforms, including defects, security vulnerabilities, performance issues, or reputational harm, could adversely affect the larger systems into which our products are integrated, and therefore demand for our products, even where our products perform as intended. Any of the foregoing could materially and adversely affect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outsourced manufacturing business model for the Non-Automotive market may not be successful, which could harm our ability to deliver products and recognize revenue in the Non-Automotive market.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fourth quarter of 2023, we made the decision to wind down our legacy Non-Automotive product. Our new product, OPTISTM, is intended to address the Non-Automotive market. Our manufacturing strategy for the Non-Automotive market had been focused on outsourcing volume manufacturing to contract manufacturers, or our Tier 1 manufacturing partners, while maintaining the design, engineering, prototyping, testing, and pilot manufacturing in-house at our facility in Pleasanton, California.</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Reliance on third-party manufacturers reduces our control over the manufacturing process, including reduced control over quality, product costs, product supply, and timing. We may experience delays in shipments or issues concerning product quality from our third-party manufacturers. If any of our third-party manufacturers experience interruptions, delays, or disruptions in supplying our products, including by (i) natural disasters, (ii) the effects of any epidemics or outbreaks of other contagions, such as "bird-flu," (iii) increased military conflict, especially in Iran, Ukraine, and elsewhere in the Middle East, (iv) increasing trade tensions around the globe, or (v) work stoppages or capacity constraints, our ability to ship products would be delayed. In addition, unfavorable economic conditions could result in financial distress among third-party manufacturers upon which we rely, thereby increasing the risk of disruption of supplies necessary to fulfill our production requirements and meet customer demands. Additionally, if any of our third-party manufacturers experience quality control problems in their manufacturing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channel partners. If our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manufacturers may also risk disclosure of our innovative and proprietary manufacturing methodologies, which could adversely affect our business.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begun engagement with a manufacturing partner, based in China in an effort to penetrate the lidar market in China, initially focused on the autonomous trucking and railway segments. Given this is a new endeavor, there is no guarantee that this will be successful or be effective at mitigating the risks associated with our outsourced manufacturing business model.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sales and operations in international markets expose us to associated operational, financial, and regulatory risks.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Sales to international customers accounted for 17% and 94% of our revenue during the six months ended June 30, 2026 and 2025, respectively. In May 2024, we announced that we have partnered with Accelight Technologies, Inc. and LighTekton Co., Ltd. to deliver our lidar solutions to the China market, specifically focused on the autonomous trucking and railway segments, as the market in China appears to be ahead of the rest of the world in lidar adoption. However, we have not previously sold into the China market and our partners, although they regularly conduct business in China, do not have experience in the lidar market. There is also significant competition in China from local lidar manufacturers. We can provide no assurances that we will be successful in the China lidar market.</w:t>
      </w:r>
    </w:p>
    <w:p>
      <w:pPr>
        <w:pStyle w:val="TextBody"/>
        <w:bidi w:val="0"/>
        <w:ind w:left="0" w:right="0" w:firstLine="720"/>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general, international operations are subject to a number of other risks, including:</w:t>
      </w:r>
    </w:p>
    <w:p>
      <w:pPr>
        <w:pStyle w:val="TextBody"/>
        <w:bidi w:val="0"/>
        <w:spacing w:before="0" w:after="0"/>
        <w:ind w:left="36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10"/>
        <w:gridCol w:w="764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impact of tariffs and any escalation of a trade war between the U.S. and its trading partners;</w:t>
            </w:r>
          </w:p>
        </w:tc>
      </w:tr>
    </w:tbl>
    <w:p>
      <w:pPr>
        <w:pStyle w:val="TextBody"/>
        <w:bidi w:val="0"/>
        <w:spacing w:before="0" w:after="0"/>
        <w:ind w:left="0" w:right="0" w:firstLine="72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10"/>
        <w:gridCol w:w="222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exchange rate fluctuations;</w:t>
            </w:r>
          </w:p>
        </w:tc>
      </w:tr>
    </w:tbl>
    <w:p>
      <w:pPr>
        <w:pStyle w:val="TextBody"/>
        <w:bidi w:val="0"/>
        <w:spacing w:before="0" w:after="0"/>
        <w:ind w:left="36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10"/>
        <w:gridCol w:w="990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political and economic instability, international terrorism, and anti-American sentiment, particularly in emerging markets;</w:t>
            </w:r>
          </w:p>
        </w:tc>
      </w:tr>
    </w:tbl>
    <w:p>
      <w:pPr>
        <w:pStyle w:val="TextBody"/>
        <w:bidi w:val="0"/>
        <w:spacing w:before="0" w:after="0"/>
        <w:ind w:left="36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110"/>
        <w:gridCol w:w="68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global or regional health crises, such as epidemics or outbreaks of other contagions;</w:t>
            </w:r>
          </w:p>
        </w:tc>
      </w:tr>
    </w:tbl>
    <w:p>
      <w:pPr>
        <w:pStyle w:val="TextBody"/>
        <w:bidi w:val="0"/>
        <w:spacing w:before="0" w:after="0"/>
        <w:ind w:left="36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10"/>
        <w:gridCol w:w="55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military conflicts in Iran, Ukraine, and elsewhere in the Middle East;</w:t>
            </w:r>
          </w:p>
        </w:tc>
      </w:tr>
    </w:tbl>
    <w:p>
      <w:pPr>
        <w:pStyle w:val="TextBody"/>
        <w:bidi w:val="0"/>
        <w:spacing w:before="0" w:after="0"/>
        <w:ind w:left="36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110"/>
        <w:gridCol w:w="85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855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potential for violations of anti-corruption laws and regulations, such as those related to bribery and fraud;</w:t>
            </w:r>
          </w:p>
        </w:tc>
      </w:tr>
    </w:tbl>
    <w:p>
      <w:pPr>
        <w:pStyle w:val="TextBody"/>
        <w:bidi w:val="0"/>
        <w:spacing w:before="0" w:after="0"/>
        <w:ind w:left="36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10"/>
        <w:gridCol w:w="81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812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preference for locally branded products, and laws and business practices favoring local competition;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potential consequences of, and uncertainty related to, the “Brexit” process in the United Kingdom, which could lead to additional expense and complexity in doing business there;</w:t>
            </w:r>
          </w:p>
        </w:tc>
      </w:tr>
    </w:tbl>
    <w:p>
      <w:pPr>
        <w:pStyle w:val="TextBody"/>
        <w:bidi w:val="0"/>
        <w:spacing w:before="0" w:after="0"/>
        <w:ind w:left="36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10"/>
        <w:gridCol w:w="35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increased difficulty in managing inventory;</w:t>
            </w:r>
          </w:p>
        </w:tc>
      </w:tr>
    </w:tbl>
    <w:p>
      <w:pPr>
        <w:pStyle w:val="TextBody"/>
        <w:bidi w:val="0"/>
        <w:spacing w:before="0" w:after="0"/>
        <w:ind w:left="36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110"/>
        <w:gridCol w:w="240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240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delayed revenue recognition;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36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10"/>
        <w:gridCol w:w="52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potential for less effective protection of intellectual property;</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stringent regulation of autonomous driving or other systems or products using our products and stringent consumer protection and product compliance regulations, including, but not limited, to the General Data Protection Regulation, or GDPR in the European Union, European competition law, the Restriction of Hazardous Substances Directive, or RoHS, the Waste Electrical and Electronic Equipment Directive, or WEEE, and the European Ecodesign Directive, all of which are costly to comply with and may vary from country to country;</w:t>
            </w:r>
          </w:p>
        </w:tc>
      </w:tr>
    </w:tbl>
    <w:p>
      <w:pPr>
        <w:pStyle w:val="TextBody"/>
        <w:bidi w:val="0"/>
        <w:spacing w:before="0" w:after="0"/>
        <w:ind w:left="36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10"/>
        <w:gridCol w:w="53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difficulties and costs of staffing and managing foreign operations;</w:t>
            </w:r>
          </w:p>
        </w:tc>
      </w:tr>
    </w:tbl>
    <w:p>
      <w:pPr>
        <w:pStyle w:val="TextBody"/>
        <w:bidi w:val="0"/>
        <w:spacing w:before="0" w:after="0"/>
        <w:ind w:left="36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60"/>
        <w:gridCol w:w="110"/>
        <w:gridCol w:w="41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import and export laws and associated regulations;</w:t>
            </w:r>
          </w:p>
        </w:tc>
      </w:tr>
    </w:tbl>
    <w:p>
      <w:pPr>
        <w:pStyle w:val="TextBody"/>
        <w:bidi w:val="0"/>
        <w:spacing w:before="0" w:after="0"/>
        <w:ind w:left="36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110"/>
        <w:gridCol w:w="98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local tax and customs duty laws or changes in the enforcement, application, or interpretation of such laws; and</w:t>
            </w:r>
          </w:p>
        </w:tc>
      </w:tr>
    </w:tbl>
    <w:p>
      <w:pPr>
        <w:pStyle w:val="TextBody"/>
        <w:bidi w:val="0"/>
        <w:spacing w:before="0" w:after="0"/>
        <w:ind w:left="36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110"/>
        <w:gridCol w:w="63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36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U.S. government’s restrictions on technology transfers to certain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occurrence of any of these risks could negatively affect our international business and consequently our business, operating results,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expose us to product liability and other claims, and thereby adversely affect our operating costs.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are highly technical, very complex, and require precision to manufacture. Our products have in the past experienced, and will likely in the future experience, defects, errors, or reliability issues at various stages of development, production, and use. We may be unable to timely release new products, manufacture existing products, correct problems that have arisen, or correct such problems to our customers’ satisfaction. Additionally, undetected errors, defects, or security vulnerabilities, especially as new products are introduced or as new versions are released, could result in serious injury to the end users of the technology incorporating our products, or those in the surrounding area, our customers never being able to commercialize technology incorporating our products, litigation against us, negative publicity, and other consequences. These risks are particularly prevalent in the highly competitive autonomous driving and ADAS markets. Some errors or defects in our products may only be discovered after they have been tested, commercialized, and deployed by customers. If that is the case, we may incur significant additional development costs and product recall, repair, or replacement costs. These problems may also result in claims, including class actions, against us. Our reputation or brand may be damaged as a result of these problems and customers may be reluctant to buy our products thereafter, which could adversely affect our ability to retain existing customers and attract new customers, and could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are intended to be combined with third-party hardware and software as part of a larger system. These larger systems are also highly technical, complex, and require precision to manufacture. The third-party components incorporated into these larger systems have been and will be subject to defects, errors, and reliability issues during development, production, and use. Should these third-party components, in which our products are intended to be combined with, fail or require action to correct defects or errors, it would likely delay the sale of the larger system in which our products are to be incorporated, thereby adversely affecting our financial results. As the production of third-party components is largely outside of our control, we are subject to such third parties investing sufficient time and resources to manufacture their products without minimal defects. For example, if a third-party reseller intended to overlay perception software on our product prior to resale, but such perception software contained defects or errors such that it could not be introduced into the market, the sales of our products would be delayed or cancelled, thereby adversely affecting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we could face material legal claims for breach of contract, product liability, fraud, tort, or breach of warranty as a result. Defending a lawsuit, regardless of its merit, could be costly and may divert management’s attention and adversely affect the market’s perception of us and our products. In addition, any insurance coverage we may have could prove inadequate with respect to a claim and future coverage may be unavailable on acceptable terms, or at all. These product-related issues could result in claims against us and our business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be subject to product liability or warranty claims that could result in significant direct or indirect costs, which could adversely affect our business and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customers intend to use our solutions in autonomous driving and ADAS applications; the operation of motor vehicles, even with our solutions embedded, presents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autonomous driving, or certain other ADAS applications increased the risk of injury to all or a subset of our customers, they may pass laws or adopt regulations that limit the use of our products, increase the liability associated with the use of our products, or regulate the use of or delay the deployment of autonomous driving and ADAS technology. Any of these events could adversely affect our brand, relationships with customers,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Suppliers to automotive OEMs may require that we provide a warranty, either directly or indirectly, on our products, including our embedded software. The occurrence of any material defects in our products during the warranty period could make us liable for damages and warranty claims. In addition, we could incur significant costs to correct any defects, warranty claims, or other problems, including costs related to product recalls. Any negative publicity related to the perceived quality of our products could affect our brand image, partner and customer demand, and adversely affect our operating results and financial condition. Also, warranty, recall, and product liability claims may result in litigation, including class actions, the occurrence of which could be costly, lengthy, and distracting, and adversely affect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we do not maintain sufficient inventory or if we do not adequately manage our inventory, we could lose sales or incur higher inventory-related expenses, including write-downs related to obsolete or excess items, which could negatively affect our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ensure adequate inventory, we must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accuracy of the forecasts that we receive from our customers, the rapidly changing nature of the autonomous driving and ADAS markets in which we operate, the uncertainty surrounding the market acceptance and commercialization of lidar technology, the emergence of new markets, an increase or decrease in customer demand for our products or for products and services of our competitors, product introductions by competitors, epidemics or outbreaks of other contagions, such as "bird-flu," should they materialize, any work stoppages or interruptions, unanticipated changes in general market conditions, and the general weakening of economic conditions or consumer confidence, which may be exacerbated by the on-going military actions in Iran, Ukraine, and elsewhere in the Middle East, or escalating trade tensions around the globe. Some of our component manufacturers offer significant price concessions for volume purchases. In the past, we have taken advantage of such price concessions, however, the additional volume commitments we make could lead to excess component inventories if we overestimate the demand for our products. If our lidar products are commercialized in autonomous driving and ADAS applications, both of which are experiencing rapid growth in demand, we may face challenges acquiring adequate supplies to manufacture our products and/or we and our manufacturing partners may not be able to manufacture our products at a rate necessary to satisfy the levels of demand, which would negatively affect our revenue. This risk may be enhanced by the fact that we may not carry or be able to obtain for our manufacturing partners a significant level of inventory to satisfy short-term increases in demand. If we fail to accurately forecast customer demand, we may experience excess inventory levels or a shortage of products available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Inventory levels in excess of customer demand may result in inventory write-downs or write-offs and the sale of excess inventory at discounted prices, which would adversely affect our financial results, including our gross margin, and have a negative effect on our brand. In the past, including in the fourth quarter of 2023, we took inventory write-downs for obsolete and excess components associated with our decision to wind down our legacy Non-Automotive product line. Conversely, if we underestimate customer demand for our products, we, or our manufacturing partners, may not be able to deliver products to meet our requirements, and this could result in damage to our brand and customer relationships, and adversely affect our revenue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average selling prices of our products or our fees or royalties from technology licenses could decrease rapidly over the life of the product or license term, which may negatively affect our revenue and gross margin.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experience declines in the average selling prices of our products generally as our customers seek to commercialize lidar-based systems at prices low enough to achieve market acceptance or due to competitive pressures. In order to sell products that have a falling average unit selling price and maintain margins at the same time, we will need to continually reduce product and manufacturing costs. To manage manufacturing costs, we and our Tier 1 partners must continually engineer the most cost-effective design for our products. In addition, we continuously drive initiatives to reduce assembly cost, improve efficiency, reduce the cost of materials, use fewer materials, and further lower overall product costs by carefully managing component prices, inventory, and shipping costs. We also need to continually introduce new and competitive products in order to maintain our overall gross margin. We may also experience declines in fees or royalties from licensing our technology as customers reduce the prices of their products incorporating our licensed technology in order to achieve market acceptance or due to competitive pressures. If we are unable to manage the cost structure of our products, successfully introduce new products with higher gross margins, and develop new technology that we can license at attractive royalty rates, our revenue and overall gross margin would likely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Adverse conditions in the automotive industry or downturns in domestic or global economic conditions, or other macroeconomic factors more generally, could have adverse effects on our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make our strategic planning decisions based on the assumption that the markets we are targeting will grow, our business is dependent, in large part on, and directly affected by, business cycles and other factors affecting the global automotive industry and the global economy generally. Automotive production and sales are highly cyclical and depend on general economic conditions and other factors, including consumer spending and preferences, changes in interest rates (which significantly increased beginning in 2022 and have fallen starting in 2025) and credit availability, changes in inflation rates (which the U.S. has recently experienced and may continue to do so), consumer confidence (which may be starting to wane), fuel costs, fuel availability, environmental impact, tariffs (especially those targeting automobiles or components used by the automotive industry in particular, such as steel and aluminum), governmental incentives and regulatory requirements, and political volatility, especially in energy-producing countries and growth markets. Increases in interest rates, especially if coupled with reduced government spending and volatility in financial markets, may have the effect of further increasing economic uncertainty and heightening these risks, which may impact our ability to raise additional capital in the future. In addition, the ongoing hostilities between Russia and Ukraine, the war in Iran and elsewhere in the Middle East, and global reactions thereto have caused significant fluctuations in U.S. domestic and global energy prices. Oil supply disruptions related to the military action in Iran, and prior to that, the Russia-Ukraine conflict, as well as sanctions and other measures taken by the U.S. and its allies, has lead to higher costs for gas, food, and goods in the U.S. and exacerbate the inflationary pressures on the economy, with potentially adverse impacts on our customers and on our business, results of operations, and financial condition. Moreover, certain raw materials needed to produce components that are incorporated into our products, and the products of our customers, are primarily derived in the region in which the Russia-Ukraine conflict is occurring. The longer the Russia-Ukraine conflict continues and the more damage to Ukrainian infrastructure that occurs, the greater the impact could be on the supply of such raw materials, and the failure to have access to such raw materials could have an adverse effect on our business and results of operations. In addition, the Cybersecurity and Infrastructure Security Agency, or CISA, has in the past warned organizations in the U.S. to be on guard against possible cyber-attacks coming from Russia and Iran which has the potential to disrupt business operations, limit access to essential services, and threaten public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Automotive production and sales can also be significantly affected by our automotive OEM and Tier 1 supplier customers’ ability to operate effectively in the face of challenging economic conditions and in response to labor relations issues, regulatory requirements, and other factors, such as the unavailability of unrelated components in the assembly of automobiles, an example of which was the shortage of semiconductors necessary for automobile production. In addition, ongoing global trade disputes, and the resulting imposition or modification of tariffs (including those specifically targeting the automotive industry, including the components used in automobile manufacturing), increasing trade tensions, and the implementation of potential trade restrictions, are expected to negatively impact automotive OEMs and their Tier 1 suppliers. The volume of automotive production in North America, Europe, and other key markets has fluctuated, sometimes significantly, from year to year, and we expect such volatility to continue, especially in light of these additional issues. Any significant adverse change in any of these factors may result in a reduction in automotive sales and production by our automotive OEM and Tier 1 supplier customers, which could, in turn, reduce demand for our products and licenses of our technology, which would have a material adverse effect on our business, results of operations, and financial condition.</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Customers with which we enter into supply agreements may require changes to our products or may be subject to renegotiation or termination in a short time period, which would materially and adversely affect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and our partners are able to secure design wins so that our solutions are included in autonomous driving and ADAS products, we expect that we, or our Tier 1 partners, will enter into supply agreements with that customer. Market practice dictates that these supply agreements typically require us to supply a customer’s requirements for a particular vehicle model or autonomous driving or ADAS product, rather than supply a set number of products. These arrangements can have short terms, be subject to renegotiation, or may be reduced or otherwise terminated, the occurrence of any of which may affect product pricing and future profitability. Therefore, even if we are successful in obtaining design wins, and we or our Tier 1 partners are able to enter into definitive agreements with OEMs, and the systems into which our products are built are commercialized, the discontinuation of, the loss of business with respect to, or a lack of commercial success of a particular vehicle model or technology package for which we are a significant supplier could mean that the expected sales of our products will not materialize, materially and adversely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Since many of the markets in which we compete are new and rapidly evolving, it is difficult to forecast long-term end-customer adoption rates and demand for our products.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pursuing opportunities in markets that are undergoing rapid changes, including technological and regulatory changes, and it is difficult to predict the timing and size of the opportunities. For example, autonomous driving and lidar-based ADAS applications require the utilization of complex technology. Because these systems depend on technology from many companies, commercialization of autonomous driving or ADAS products could be delayed or impaired on account of certain technological components not being ready to be deployed in automobiles. We are in the process of developing necessary relationships with commercial partners which may not result in the commercialization of our technology immediately,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emerging market opportunities. If one or more of these markets experiences a shift in customer or prospective customer demand, our products may not compete as effectively, if at all, and they may not be designed into commercialized products. Given the evolving nature of the markets in which we operate, it is difficult to predict customer demand or adoption rates for our products or the future growth of these markets. If demand does not develop or if we cannot accurately forecast customer demand, the size or timing of our markets, inventory requirements, or our future financial results, our business, results of operations, and financial condition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currently have and target many customers that are large corporations with substantial negotiating power, exacting product standards, and potentially competitive internal solutions. If we are unable to sell our products to these customers, our prospects and results of operations will be adversely affected.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Many of our current and potential customers are large, multinational corporations with substantial negotiating power relative to us and, in some instances, may have internal solutions that are competitive to our products. These large, multinational corporations also have significant development resources, which may allow them to acquire or develop independently, or in partnership with others, competitive technologies. Meeting the technical requirements and securing design wins with any of these companies will require a substantial investment of our time and resources. We cannot assure you that our products will secure design wins from these or other companies or that we will generate meaningful revenue from the sales of our products to these key potential customers. If our products are not selected by these potential customers or if these potential customers develop or acquire competitive technology, it will have an adverse effect on our business.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many Non-Automotive markets, customers often rely on system integrators, distributors, or other intermediaries to design, deploy, and maintain solutions that incorporate our technology. Our ability to cultivate strong relationships with these third parties may significantly influence our ability to access and succeed in these markets. If we are unable to identify, attract, and retain qualified integrators or partners, or if these partners fail to effectively promote, integrate, or support our products, our growth in Non-Automotive markets could be limited. Additionally, reliance on third parties introduces risks related to quality control, customer experience, and pricing, any of which could adversely affect our reputation, business,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could be materially and adversely affected if we lose any of our customers or strategic partners, if their demand for our products declined due to factors outside of our control, including component shortages (whether related to our products or otherwise) that impact our customers</w:t>
      </w:r>
      <w:r>
        <w:rPr>
          <w:rFonts w:ascii="Times New Roman" w:hAnsi="Times New Roman"/>
          <w:caps w:val="false"/>
          <w:smallCaps w:val="false"/>
          <w:sz w:val="20"/>
        </w:rPr>
        <w:t xml:space="preserve">’ </w:t>
      </w:r>
      <w:r>
        <w:rPr>
          <w:rFonts w:ascii="Times New Roman" w:hAnsi="Times New Roman"/>
          <w:b/>
          <w:i/>
          <w:caps w:val="false"/>
          <w:smallCaps w:val="false"/>
          <w:sz w:val="20"/>
        </w:rPr>
        <w:t>overall production plans or product development plans, or if our customers were unable to pay their invoices.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have and continue to pursue a broad customer base, in the Automotive markets, there exist only a limited number of customers, most of which have strong purchasing power and for which the relationships continue to develop. In the Non-Automotive markets, there are considerably more potential customers, but the market is highly fragmented. The loss of business from any of our existing or potential customers (whether by lower overall demand for our products, component shortages that impact our customers’ production plans or product development plans, cancellation of existing contracts or product orders, or the failure to design in our products)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the extent vehicle autonomy and ADAS become accepted by major automotive OEMs, we expect that we will rely increasingly for our revenue on Tier 1 suppliers through which automotive OEMs procure products. We expect that these Tier 1 suppliers will be responsible for certain hardware and software configuration activities specific to each automotive OEM, and they may not exclusively carry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is also a risk that one or more of our major customers could be unable to pay our invoices as they become due or that a customer will simply refuse to make such payments if it experiences financial difficulties, or otherwise. If our customers face financial difficulties, they may also cancel current or future product programs that could materially and adversely impact our financial results. If a major customer were to enter into bankruptcy proceedings or similar proceedings whereby contractual commitments are subject to a stay and the possibility of modifications, we could be forced to record a substantial loss.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we are unable to establish and maintain confidence in our long-term business prospects among customers and analysts within our industry or we are subject to negative publicity, then our financial condition, operating results, business prospects, and access to capital may suffer materially.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Customers may be less likely to purchase our lidar solutions if they are not convinced that our business will succeed or that our service and support and other operations will continue in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customers, suppliers, analysts, ratings agencies, and others in our products, long-term financial viability, and business prospects. Maintaining such confidence may be particularly complicated by certain factors including those that are largely outside of our control, such as our limited operating history, our ability to continue to raise funding for ourselves until we reach profitability, customer familiarity with our lidar solutions, any delays in scaling production, delivery, and service operations to meet demand, competition, uncertainty regarding the future of autonomous vehicles, and our production and sales performance compared with market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investments in educating our customers and potential customers about the advantages of lidar and our applications may not result in sales of our products.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Educating our prospective customers, and to a lesser extent, our existing customers, about lidar, our advantages over other sensing technologies, and lidar’s ability to convey value in different industries and deployments is an integral part of developing new business and the lidar market generally. If prospective customers have a negative perception of, or experience with, lidar, or a competitor’s lidar products, they may be reluctant to adopt lidar in general or specifically our products. Adverse statements about lidar by influential market participants, such as negative comments about lidar’s role in autonomous vehicles repeatedly made by Elon Musk, the CEO of Tesla, Inc., may also deter adoption. Some of our competitors have significant financial or marketing resources that may allow them to engage in public marketing campaigns about their alternative technology, lidar generally, or our solutions specifically. Our efforts to educate potential customers and the market generally, and to counter any adverse statements made by competitors or other market participants, will require significant financial and personnel resources. These educational efforts may not be successful, and we may not be in a position to offset the costs of such efforts with revenue from new customers. If we are unable to acquire new customers to offset these expenses or if the market accepts such adverse statements, our financial condition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operate in a highly competitive market involving emerging technology. We compete against a number of competitors, some of whom have substantially greater resources than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markets for sensing technology applicable to autonomous solutions across numerous industries are highly competitive. Our future success will depend on our ability to achieve a leadership position in our target markets by continuing to develop, and protect from infringement, advanced lidar technology in a timely manner and to stay ahead of existing and new competitors. Our competitors compete with us directly by offering lidar products and indirectly by attempting to solve some of the same challenges with different technologies. Our current and future competitors may enjoy competitive advantages, such as greater name recognition, established relationships, or existing contracts with Tier 1 suppliers and/or OEMs, and substantially greater financial, technical, and other resources. Because automotive lidar technology appears to have been successfully commercialized in China, our competitors in that market have likely gained experience that comes with productization that suppliers outside of China, including us, have yet to gain. We face competition from a number of sources including camera and radar companies, other developers of lidar products, Tier 1 suppliers, and other technology and automotive supply companies. In the Automotive market, our competitors have commercialized both lidar and non-lidar-based ADAS technology, which has achieved market adoption, strong brand recognition, and is expected to improve over time. Other competitors are working towards commercializing autonomous driving technology, and either by themselves or with a publicly announced partner, and have substantial financial, marketing, R&amp;D, and other resources. Some of our customers in the autonomous vehicle and ADAS markets have announced development efforts or made acquisitions directed at creating their own lidar-based or other sensing technologies, which would compete with our solutions. We do not know how close these competitors are to commercializing autonomous driving systems or novel ADAS applications. In the Non-Automotive markets, our competitors seek to develop new sensing applications across industries. Even in these emerging markets, we face substantial competition from numerous competitors seeking to prove the value of their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competition may result in pricing pressure and reduced margins, and may impede our ability to secure design wins, successfully enter into definitive agreements or other commercial arrangements, or successfully commercialize our products at scale, which may prevent us from achieving our projected market share. In particular, our competitors have in the past offered, and may in the future offer, their products and services on terms that we and/or our Tier 1 partners are unwilling to match, or our competitors could introduce new products with competitive price and performance characteristics, which may adversely affect our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markets in which we compete are characterized by rapid technological change, which requires us to continue to develop new products and product innovations, and could adversely affect market adoption of our products.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intend to invest substantial resources to remain on the forefront of technological development, continuing technological changes in sensing technology and lidar, and the markets for these products, including the ADAS and autonomous driving space, could adversely affect adoption of lidar and/or our products, either generally or for particular applications. Our future success will depend upon our ability to develop and introduce a variety of new capabilities and innovations to our existing products, as well as our ability to introduce new product offerings to address the changing needs of our customers. We cannot guarantee that such new products will be released in a timely manner, or at all, or achieve market acceptance. Delays in delivering new products that meet customer requirements could damage our relationships with customers and lead them to seek alternative sources of supply. In addition, to date, we have focused on the delivery of our solutions to R&amp;D programs in which developers are investing substantial capital to develop new systems that incorporate our solutions. Our future success relies heavily on the outcome of the R&amp;D efforts by these customers. As autonomous technology reaches the stage of large-scale commercialization, we will be required to develop and deliver solutions at price points that enable wider and ultimately mass-market adoption. Delays in introducing products and innovations, the failure to choose correctly among technical alternatives, or the failure to offer innovative products or configurations at competitive prices may cause existing and potential customers to purchase our competitors’ products or turn to alternative sensing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devote adequate resources to develop products or cannot otherwise successfully develop products or system configurations that meet customer requirements on a timely basis or that remain competitive with alternatives, our products will lose market share, our revenue will decline, we will experience operating losses, and our business and prospects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Developments in alternative technologies may adversely affect the demand for our technology.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Significant developments in alternative technologies, such as cameras and radar, or a fusion of lidar with cameras and/or radar, may materially and adversely affect our business, prospects, financial condition, and operating results in ways we do not currently anticipate. Existing and future camera and radar technologies may emerge as customers’ preferred alternative to our solutions. In addition, some of our competitors are developing lidar based on frequency-modulated continuous wave, or FMCW, sensors or single photon avalanche diode, or SPAD, sensors, rather than the time-of-flight, or ToF, sensors we utilize. Each type of sensor has advantages and disadvantages over the others and it is impossible to predict which one, or if any or all of these sensors will ultimately be adopted by various markets. Any failure by us to develop new or enhanced technologies or processes, or to react to changes in existing technologies, could materially delay our development and introduction of new and enhanced products, which could result in the loss of competitiveness of our lidar solutions, decreased revenue, and a loss of market share to competitors (or a failure to increase revenue and/or market share). Our R&amp;D efforts may not be sufficient to adapt to changes in technology. As technologies change, we plan to upgrade or adapt our lidar solutions with the latest, yet cost effective, technology. However, our solutions may not compete effectively with alternative systems if we are not able to source and integrate the latest technology into our existing lidar solutions in a cost-effective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we fail to maintain an effective system of internal controls, our ability to produce timely and accurate financial statements or comply with applicable regulations could be adversely affected.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reporting requirements of the Securities Exchange Act of 1934, the Sarbanes-Oxley Act of 2002, and the rules and regulations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are recorded, processed, summarized, and reported within the time periods specified in the rules of and on the forms required by the SEC, and that information required to be disclosed in reports under the Exchange Act is accumulated and communicated to our principal executive and financial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current controls, and any new controls that we develop, may be inadequate because of changes in conditions in our business. Further, weaknesses in our internal controls may be discovered in the future.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under Section 404(a) of the Sarbanes-Oxley Act. Ineffective disclosure controls and procedures and a lack of internal control over financial reporting could also cause investors to lose confidence in our reported financial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order to maintain and improve the effectiveness of our disclosure controls and procedures and our internal control over financial reporting, we have expended, and anticipate that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and adversely affect our ability to operate our business. If our internal controls are perceived as inadequate or that we are unable to produce timely or accurate financial statements, investors may lose confidence in our operating results and the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independent registered public accounting firm is not required to formally attest to the effectiveness of our internal control over financial reporting until we are no longer a smaller reporting company or a non-accelerated filer.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Changes in tax laws or exposure to additional income tax liabilities could affect our future profitability.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Factors that could materially affect our future effective tax rates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10"/>
        <w:gridCol w:w="581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tax laws (including tax rates) or the regulatory environment;</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10"/>
        <w:gridCol w:w="434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accounting and tax standards or practices;</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110"/>
        <w:gridCol w:w="58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the composition of operating income by tax jurisdiction; and</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10"/>
        <w:gridCol w:w="27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operating results before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we do not have a long history of operating at our present scale and we have significant expansion plans, our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22, 2017, the Tax Cuts and Jobs Act of 2017, or the Tax Act, was signed into law making significant changes to the U.S. Tax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or GILTI, and base erosion and anti-abuse tax, or BEAT. The new legislation had no effect on our 2023 or 2022 provision for income taxes because we generated net tax losses and offset our deferred tax assets on the consolidated balance sheets with a full valuation allowance due to our current loss position and forecasted losses for the near future. The overall impact of this tax reform is uncertain, and our business and financial condition, including with respect to our non-U.S.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the impact of the Tax Act on our federal taxes, the Tax Act may impact our taxation in other jurisdictions, including with respect to state income taxes. State legislatures have generally not responded to the Tax Act. Accordingly, there is uncertainty as to how the laws will apply in the various state jurisdictions. Additionally, other foreign governing bodies may enact changes to their tax laws in reaction to the Tax Act that could result in changes to our global tax position and materially and adversely affect our business, results of operations, and financial condition. Additionally, the Internal Revenue Service, or IRS, and several foreign tax authorities have increasingly focused attention on intercompany transfer pricing with respect to sales of products and services and the use of intangibles. Tax authorities could disagree with our future intercompany charges, cross-jurisdictional transfer pricing, or other matters and assess additional taxes. If we do not prevail in any such disagreements, our profitability may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ability to use our net operating loss carryforwards and certain other tax attributes may be limited.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2025, we had approximately $362.2 million of U.S. federal, and approximately $268.7 million of state net operating loss carryforwards available to reduce future taxable income. Of the approximately $362.1 million in U.S. federal operating loss carryforwards, approximately $349.9 million will be carried forward indefinitely for U.S. federal tax purposes and approximately $12.2 million will begin to expire in 2033. All of our U.S. state net operating loss carryforwards will begin to expire in 2029.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our pre-change net operating loss carryforwards and other pre-change attributes, such as research tax credits, to offset our post-change income or tax may be limited. In general, an “ownership change” will occur if there is a cumulative change in our ownership by “5-percent shareholders” that exceeds 50 percentage points over a rolling three-year period. Similar rules may apply under state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highly dependent on the services of our executive officers.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highly dependent on our executive officers, in particular, Matthew Fisch, our Chief Executive Officer, Conor B. Tierney, our Chief Financial Officer, and Erica Allen, our Chief People Officer. The loss of any of our executive officers or other senior executives could adversely affect our business because the loss could make it more difficult to, among other things, compete with other market participants, continue to develop innovative product designs, and retain existing customers or cultivate new ones. Negative public perception of, or negative news related to any of our executive officers or senior executives may adversely affect our brand, relationship with customers, or standing in the industry. In the past, we have lost the services of some of our executive officers for various reasons.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depends substantially on the efforts of our executive officers and highly skilled personnel, and our operations may be severely disrupted if we lose their services.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Competition for highly skilled personnel is often intense, especially in the San Francisco Bay Area, where we are headquartered, and we may incur significant costs to attract the highly skilled personnel we require.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especially those with engineering skills. Our ability to attract and retain the highly skilled personnel we require has been further hampered by the overall reductions in personnel we have implemented, which places more responsibility on fewer individuals, our focus on cash conservation, which has limited our ability to provide increases in compensation, and the decline in our stock price, which has decreased the retention value of the stock awards we have made to our employees. In addition, our equity plan for the past several years has not been well funded. We asked stockholders to approve an increase in the number of shares issuable under our equity plan at the 2024 and 2025 annual meeting of stockholders. Our stockholders failed to approve the additional shares, therefore we were unable to issue what we believe is sufficient equity to our employees, thereby decreasing our ability to retain them. In addition, our executive officers did not receive an equity grant as part of our long-term incentive program in 2024 and 2025, substantially increasing the risk of retention. At our 2026 annual meeting of stockholders, our stockholders did approve the addition of 6,750,000 shares to our equity plan. Even with the additional shares, the retention value of such shares may have been insufficient to adequately retain some or all of our employees, including our executive officers. Moreover, with the personnel reductions we have implemented, it may create, in some instances, single points of failure, such that if certain individuals voluntarily resign from the Company, it may adversely impact, or significantly delay, our ability to bring our products to market, which would severely impact our operations and have an adverse impact on our business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2025, a group of dissident stockholders initiated a proxy contest and, among other things, opposed company proposals that provided for the replenishment of our employee equity incentive plan. The opposition was successful and had significantly impaired our ability to offer competitive equity-based compensation, which is a key component of our strategy to attract, retain, and motivate employees. We may experience similar proxy contests in the future and the uncertainty surrounding the outcome of any proxy contest may also create internal disruption, reduce employee morale, and make it more difficult to recruit new talent. Any loss of key personnel or inability to attract and retain qualified employees could materially and adversely affect our business, product development efforts, and long-term growth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job candidates and existing employees often consider the value of the equity awards they receive in connection with their employment. If the perceived value of our equity or our equity awards decline, which has occurred in the past and may continue into the future, it may adversely affect our ability to retain highly skilled employees. If we fail to attract new personnel or we fail to retain and motivate our current personnel, our business and future growth prospects could be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is subject to the risks of earthquakes, fires, floods, and other natural catastrophic events, pandemics, and interruptions by manufactured events, such as terrorism. Material disruptions of our business or information systems resulting from these events could adversely affect our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significant natural disaster, such as an earthquake, fire, flood, hurricane, or significant power outage or other similar events, such as infectious disease outbreaks or pandemic events, could have an adverse effect on our business and operating results. Our corporate headquarters and major operations are located in the San Francisco Bay Area of California, which is a region known for significant seismic activity. In addition, natural disasters, acts of terrorism, or war could cause disruptions in our operations, or the operations of our customers, channel partners, or suppliers, or the economy as a whole. We also rely on information technology systems to communicate among our workforce and with third parties. Any disruption to our communications, whether caused by a natural disaster or by manufactured events, such as power disruptions, could adversely affect our business. We do not have a formal disaster recovery plan or policy in place and do not currently require that our suppliers have such plans or policies in place. To the extent that any such disruptions result in delays or cancellations of orders or impede our suppliers’ ability to timely deliver components, or the deployment of our products, our business, operating results, and financial condition would be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as well as our suppliers and partners, are subject to cybersecurity risks to operational systems, security systems, infrastructure, integrated software in our lidar solutions, and the data processed by those solutions, and any material failure, weakness, interruption, cyber event, incident, or breach of security could adversely affect our business by causing a disruption of our operations, a compromise or corruption of our confidential or other business-critical information, and/or damage our business relationships, all of which could negatively impact our business financial condition, and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at risk for interruptions, outages, and breaches of our operational systems, including our business, financial, accounting, product development, and production processes, owned by us, our suppliers or our partners; our facility security systems, owned by us, our suppliers, or our partners; our in-product technology owned by us, our suppliers, or our partners; the integrated software in our lidar solutions; or the data that we process or our suppliers process on our behalf. In March 2025, we experienced a physical break-in at our headquarters. Although no property, either personal or intellectual, was taken, the break-in caused a temporary disruption to our operations. In mid-2022, our previous partner, Continental, experienced a cyberattack in which data was improperly taken from their servers. To date, Continental has not notified us that any data belonging to us was compromised. 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or those of our third-party vendors for purposes of misappropriating assets, stealing confidential information, corrupting data, or causing operational disruption. Such cyber incidents could materially disrupt operational systems; result in loss of intellectual property, trade secrets or other proprietary or competitively sensitive information; compromise certain information of employees, suppliers, or others; jeopardize the security of our facilities; or affect the performance of in-product technology and the integrated software in our lidar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phishing, or other forms of deception. The risks of a cybersecurity breach against companies based in the U.S., like us, may be enhanced as a byproduct of the on-going war in Iran or Ukraine, or by state-sponsored actors, primarily located in, or sponsored by, China, Russia, Iran, or North Korea. Despite careful security and controls design, our information technology systems and the systems used by our third-party vendors, may be subject to security breaches and cyberattacks the result of which could include disrupted operations, misstated or unreliable financial data, liability for stolen assets or information, increased cybersecurity protection and insurance costs, litigation, and damage to business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techniques used by cyber attackers change frequently and may be difficult to detect for long periods of time. Continental, for example, failed to provide notice of the mid-2022 breach to us for about one month. Although we maintain information technology measures designed to protect us against intellectual property theft, data breaches, and other cyber incidents, such measures will require continual updates and improvements, and we cannot guarantee that such measures will be adequate to detect, prevent, or mitigate cyber incidents. The implementation, maintenance, segregation, and improvement of these systems require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produce, sell, deliver, or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 Further, we generally permit remote working for many of our employees which heightens our vulnerability to a cybersecurity risk or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significant cyber incident could impact production capability, harm our reputation, cause us to breach our contracts with other parties, or subject us to regulatory actions and litigation, any of which could materially affect our business, prospects, financial condition, and operating results. In addition, our insurance coverage for cyber-attacks may not be sufficient to cover all the losses we may experience as a result of a cyber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cash and cash equivalents could be adversely affected if the financial institutions in which we hold our cash and cash equivalents fail.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regularly maintain cash balances at third-party financial institutions, including Silicon Valley Bank, or SVB, in excess of the Federal Deposit Insurance Corporation insurance limit. When SVB was seized by regulators in March 2023, we maintained our operating account at SVB. Shortly after the seizure by regulators, all of our funds were returned to us. Had the funds not been returned to us, it would have had a significant impact on our liquidity. We continue to maintain an operating account at SVB but have established operating accounts at other financial institutions as well to mitigate the risk of any one bank failure. However, the failure of any depository institution to return any of our deposits, or if a depository institution is subject to other adverse conditions in the financial or credit markets, could impact access to our cash or cash equivalents and could adversely impact our operating liquidity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As part of growing our business, we may make acquisitions. If we fail to successfully select, execute, or integrate our acquisitions, then our business, results of operations, and financial condition could be materially and adversely affected, and our stock price could decline.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governmental authorities for the acquisitions and to comply with any applicable laws and regulations, which could result in increased delays and costs, and may disrupt our business strategy if we fail to obtain such required approvals. Furthermore, acquisitions and the subsequent integration of new assets, businesses, key personnel, customers, vendors, and suppliers will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closing acquisitions may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date, we have very limited experience with acquisitions and the integration of acquired technology and personnel. Failure to successfully identify, complete, manage, and integrate acquisitions could materially and adversely affect our business, financial condition, and results of operations and could cause our stock price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Actions that we have taken or may take in the future, related to the implementation of our strategic initiatives, may be costly and not successful.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rapidly evolving nature of the lidar and autonomous vehicle market, we have in the past, and anticipate that in the future, we will revise our strategic plan to allow us to realign our resources and significantly reduce operating expenses in line with the direction of the marketplace.  In 2023, for example, we shifted our strategic focus away from our legacy product for the Non-Automotive market. We cannot guarantee that the implementation of any revised strategic plan will achieve or sustain the anticipated benefits, or that the benefits, even if achieved, will be adequate to meet long-term expectations. As a result of revising any strategic plan, we have incurred additional costs in the near term, including cash expenditures for separation payments, employee benefits, and related costs. Additional risks associated with the continuing impact of a revised strategic plan include, employee attrition beyond our intended reduction-in-force and adverse effects on employee morale, diversion of management attention, adverse effects to our reputation as an employer (which could make it more difficult for us to hire employees in the future), and potential failure or delays to meet our shift in focus from research and development to commercialization. If we do not realize the expected benefits of any revised strategic plan on a timely basis or at all, our business, results of operations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Legal and Regulatory Risks Related to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Changes to trade policy, tariffs, and import/export regulations may have a material adverse effect on our business, financial condition, and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global political, regulatory, and economic conditions or in laws and policies governing foreign trade, manufacturing, development, and investment in the territories or countries where we currently purchase our components, sell our products, and conduct our business, could adversely affect our business. Since the beginning of 2025, the U.S. has continued to institute and propose changes in trade policies that include the negotiation or termination of trade agreements, the imposition of higher tariffs on imports into the U.S., economic sanctions on individuals, corporations, and countries, and other government regulations affecting trade between the U.S. and other countries where we conduct our business. A number of other nations have proposed or instituted similar measures directed at trade with the U.S. in response. As a result of these developments, there may be greater restrictions and economic disincentives on international trade that could adversely affect our business. For example, such changes could adversely affect the Automotive market, our ability to access key components or raw materials needed to manufacture our products (including rare earth metals), our ability to sell our products or license our product designs and software to customers outside of the U.S., and the overall demand for our products.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have and may become involved in legal and regulatory proceedings and commercial or contractual disputes, which could have an adverse effect on our profitability and consolidated financial position.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been and may be, from time to time, involved in litigation, regulatory proceedings, and commercial or contractual disputes that may be significant. These matters may include disputes with our suppliers and customers, intellectual property claims, stockholder litigation, government investigations, class action lawsuits, personal injury claims, environmental issues, customs and value-added tax disputes, and employment and tax issues.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2025, we were notified by a former vendor that it intended to pursue a claim against the Company's wholly owned subsidiary, AEye Technologies, Inc., arising out of an agreement entered into in May 2020, in which the former vendor alleges that AEye Technologies, Inc. failed to pay approximately $3.3 million, plus interest from the date the former vendor alleges such payments were due. In February 2026, the former vendor initiated a binding arbitration proceeding against AEye Technologies, Inc. pursuant to the underlying purchase agreement. Our subsidiary has disputed, and continues to dispute the total amount owed based, in part, on the claim that the products supplied by the former vendor were largely defective, that the  former vendor was repeatedly made aware of the existence of such defects, and has asserted counterclaims in the arbitration. The arbitration hearing was held in July 2026, and the Company expects the arbitrator to issue an award in the second half of 2026.  Because the outcome turns on disputed issues concerning the alleged defective and late delivery of the devices and the Company’s counterclaims, the Company is unable to predict the outcome of the arbitration or to estimate the amount of probable loss, if any, at this time.</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2024, we were purportedly served with a complaint that alleged we were in breach of a lease for office space in Dublin, California, entered into by our subsidiary, AEye Technologies, Inc. in 2019, because of an alleged failure to pay rent.  The landlord claimed that the amount owed could be up to $8.5 million. Thereafter, in August 2024, the landlord fully drew down the standby letter of credit of $2.15 million, which was held as security for the payment of rent, due to the alleged default of the lease. We disputed, among other things, the total damages claimed by the landlord. On April 28, 2025, the Company and the former landlord entered into a settlement agreement to resolve all outstanding disputes related to the lease. Under the terms of the settlement agreement, the Company paid $1.4 million in cash and issued a warrant to purchase up to 350,000 shares of common stock at an exercise price of $2.22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early 2023, we discovered that there may have been some uncertainty with respect to the validity of our Second Amended and Restated Certificate of Incorporation, which was approved by our stockholders at the special meeting of stockholders held on August 12, 2021. While this matter has been fully resolved, we cannot provide assurances that other matters similar in nature may not arise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could face in the future a variety of labor and employment claims against us, which could include, but is not limited to, general discrimination, wage and hour, privacy, ERISA, or disability claims. In such matters, government agencies or private parties may seek to recover from us very large, indeterminate amounts in penalties or monetary damages (including, in some cases, treble or punitive damages), or seek to limit our operations in some way.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of these types of lawsuits, whether initiated by us or a third party, could require significant management time and attention or could involve substantial legal liability, adverse regulatory outcomes, and/or substantial expenses to defend. Often these cases raise complex factual and legal issues and create risks and uncertainties. No assurances can be given that any proceedings or claims will not have a material adverse impact on our operating results and consolidated financial position or that our established reserves or our available insurance will mitigate this impact.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adoption of autonomous and ADAS features by automotive OEMs may be delayed and our business impacted, as additional emissions and safety requirements are imposed on vehicle manufacturers.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Vehicle regulators globally continue to consider new and enhanced emissions requirements, including electrification, to meet environmental and economic needs as well as pursue new safety standards to address emerging traffic risks. To control new vehicle prices, among other concerns, automotive OEMs may need to dedicate technology and cost additions to new vehicle designs to meet these emissions and safety requirements and postpone the additional costs associated with new autonomous and ADAS features. We continue to see signs of what we reasonably believe to be delays in the implementation of ADAS features by OEMs that may utilize lidar technology, hence delaying sales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may be adversely affected by changes in regulations of automobiles and lasers or concerns that drive further regulation of the Automotive and laser markets.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Government product safety regulations are an important factor for our business. Historically, these regulations imposed ever-more stringent safety regulations for automobiles and laser products. These safety regulations often require, or customers demand, automobiles have more safety features per vehicle and incorporate more advanced safety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believe increasing automotive and laser safety standards will present a market opportunity for our products, governmental safety regulations are subject to change based on a number of factors that are not within our control, including new scientific or technological data, adverse publicity regarding industry recalls and safety risks of autonomous driving and ADAS products, accidents involving our products, domestic and foreign political developments or considerations, and litigation relating to our products and our competitors’ products. Changes in government regulations, especially in the autonomous driving and ADAS industries could adversely affect our business. If government priorities shift and we are unable to adapt to changing regulations, our business may be materially and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Federal, state, and local regulators impose more stringent compliance and reporting requirements in response to product recalls and safety issues in the automotive industry. As the cars that utilize our sensors go into production, we will be subject to the existing stringent requirements of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actions. We are also subject to the existing U.S. Transportation Recall Enhancement, Accountability and Documentation Act, or TREAD, which requires equipment manufacturers, such as us, to comply with “early warning” requirements by reporting certain information to the National Highway Traffic Safety Administration, or NHTSA, such as information related to defects or reports of injury related to our products. TREAD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 If we cannot rapidly address any safety concerns or defects with our products, our business, results of operations, and financial condition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Certain of our target Non-Automotive markets are subject to industry-specific certifications, domestic content rules, and other regulatory requirements that may delay or limit our ability to commercialize our products.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Many of the Non-Automotive markets we are targeting, including aerospace and defense, transportation infrastructure, rail, and aviation, are subject to industry-specific certifications, domestic content, and source-of-supply requirements, as well as other regulatory regimes with which we have limited or no prior experience. For example, certain U.S. federal infrastructure and transportation programs (including programs administered or funded by the U.S. Department of Transportation and other federal agencies) generally impose domestic content and “Buy America” requirements, including under the Build America, Buy America Act, that may require our products to be manufactured, and components sourced, in the United States in order to qualify for use in funded programs. U.S. defense procurement is subject to additional restrictions and requirements, including those imposed under the Federal Acquisition Regulation and the Defense Federal Acquisition Regulation Supplement, the Berry Amendment, specialty-metals and other domestic-source rules, and various security and clearance requirements. In aviation and certain other heavily regulated industries, our products and the platforms in which they are integrated may need to obtain type certification, technical standard order authorization, or other regulatory approvals from the U.S. Federal Aviation Administration or analogous regulatory authorities before they can be deployed.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Obtaining and maintaining these certifications and complying with these requirements can be lengthy, costly, and uncertain, and may require modifications to our products, supply chain, manufacturing operations, or contractual arrangements with our partners. If we are unable to obtain or maintain required certifications, satisfy applicable domestic content or source-of-supply rules, or otherwise meet customer regulatory requirements on a timely basis or at all, our ability to address these markets could be limited or delayed, and our addressable opportunity in these markets could be materially smaller than we currently anticipate. Any of the foregoing could materially and adversely affect our business, results of operations,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subject to governmental import and export control laws and regulations. Our failure to comply with these laws and regulations could have an adverse effect on our business, prospects, financial condition, and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and solutions are subject to import and export laws and regulations, including the U.S. Export Administration Regulations, other regulations issued by U.S. Customs and Border Protection, and various economic and trade sanctions administered by the U.S. Treasury Department’s Office of Foreign Assets Control. U.S. export control laws and regulations and economic sanctions prohibit the shipment of certain products and services to U.S. embargoed or sanctioned countries and specified persons and entities. In addition, complying with export control and sanctions regulations for a particular sale may be time-consuming and result in the delay or loss of sales opportunities. Exports of our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and fines, which may be imposed on us and the employees or officers responsible to prohibit such shipments and, in extreme cases, the incarceration of the employees or officers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pursuit of opportunities in China and other international markets exposes us to evolving export control, sanctions, and other geopolitical risks, and sudden changes in U.S. or foreign trade regulations could restrict our ability to sell our products or transfer our technology.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software, and technology are subject to U.S. export control and economic sanctions laws and regulations, including the Export Administration Regulations administered by the U.S. Department of Commerce’s Bureau of Industry and Security and the sanctions programs administered by the U.S. Treasury Department’s Office of Foreign Assets Control. These regimes are subject to rapid and unpredictable change, particularly with respect to China and other jurisdictions that are the focus of U.S. national security and trade policy. The U.S. government could, with little or no advance notice, expand the scope of controls applicable to lidar, sensing, or artificial intelligence technologies, impose new license requirements on exports, reexports, or transfers of our products or technology, add current or prospective customers, partners, or suppliers to restricted party lists, or impose end-use or end-user restrictions that limit the markets we may serve. Any such changes could require us to obtain licenses that may be delayed or denied, prevent or restrict sales to particular customers or markets, require redesign of our products or supply chain, or strand investments we have made in particular markets or relationships.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risks are heightened by our engagement of partners based in China to pursue the China lidar market. Changes in U.S. law or policy, including regulations restricting certain hardware and software with a nexus to China or other countries of concern from incorporation into connected vehicles, as well as Chinese laws and regulations, including China’s export control regime (which includes controls on rare earth elements and other critical minerals relevant to our supply chain), data security and localization requirements, anti-foreign sanctions law, and unreliable entity list, could restrict, condition, or penalize our ability to sell to, purchase from, manufacture with, or otherwise collaborate with counterparties in China. Retaliatory measures between the U.S. and China, or between the U.S. and other trading partners, could be adopted quickly and unpredictably. In addition, U.S. “deemed export” rules may constrain our ability to share controlled technology with certain foreign national employees or contractors, which could affect our hiring, staffing, and product development. If any of these risks materialize, we may be unable to realize the anticipated benefits of our international strategy, and our business, results of operations, financial condition, and prospects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subject to, and must remain in compliance with, numerous laws and governmental regulations concerning the manufacturing, use, distribution, and sale of our products. Some of our customers also require that we comply with the customers</w:t>
      </w:r>
      <w:r>
        <w:rPr>
          <w:rFonts w:ascii="Times New Roman" w:hAnsi="Times New Roman"/>
          <w:caps w:val="false"/>
          <w:smallCaps w:val="false"/>
          <w:sz w:val="20"/>
        </w:rPr>
        <w:t xml:space="preserve">’ </w:t>
      </w:r>
      <w:r>
        <w:rPr>
          <w:rFonts w:ascii="Times New Roman" w:hAnsi="Times New Roman"/>
          <w:b/>
          <w:i/>
          <w:caps w:val="false"/>
          <w:smallCaps w:val="false"/>
          <w:sz w:val="20"/>
        </w:rPr>
        <w:t>own unique requirements relating to these matters.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manufacture and sell products that contain electronic components, and such components may contain materials that are subject to government regulation in both the locations where we manufacture and assemble our products, as well as the locations where we sell our products. For example, certain regulations limit the use of lead in electronic components. Since we operate on a global basis, ensuring simultaneous compliance in multiple jurisdictions is a complex process which requires continual monitoring of regulations and an ongoing compliance process to ensure we and our suppliers are in compliance with existing regulations in each market where we operate. If new, unanticipated regulations significantly impact our use and sourcing of various components or require more expensive components, those regulations could materially and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are intended to be used for autonomous driving and ADAS applications as well as Non-Automotive applications, which are subject to complicated and evolving regulatory schemes that vary from jurisdiction to jurisdiction. These are rapidly evolving areas where new regulations could impose limitations on the use of lidar generally or our products specifically. If we fail to adhere to these new regulations or fail to continually monitor the updates, we may be subject to litigation, loss of customers, or negative publicity and our business, results of operations, and financial condition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subject to U.S. and foreign anti-corruption and anti-money laundering laws and regulations. We can face criminal liability and other serious consequences for violations, which can harm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U.S. Foreign Corrupt Practices Act of 1977, as amended, the U.S. domestic bribery statute contained in 18 U.S.C. § 201, the U.S. Travel Act, the USA PATRIOT Act,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Unforeseen issues could result in damage to certain property which could result in adverse effects on our business and reputation.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lidar utilizes lasers for performing 3D sensing. While we have developed system components designed to help minimize our lidar lasers from causing property damage (including to cameras), in the event an unforeseen issue arises that results in property damage, our reputation or brand may be damaged, and we could face material legal claims for breach of contract, product liability, tort, or breach of warranty as a result. Defending a lawsuit, regardless of merit, could be costly, divert management’s attention, and adversely affect the market’s perception of us and our products. In addition, our business liability insurance coverage could prove inadequate with respect to any claim and future coverage may be unavailable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current and potential future operations and sales subject us to existing and future laws and regulations addressing privacy and the collection, use, storage, disclosure, transfer, and protection of various types of data. For example, the European Commission has adopted the General Data Protection Regulation, or GDPR, and California enacted the California Consumer Privacy Act of 2018, both of which provide for potentially material penalties for non-compliance. These statutory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also be affected by cyber-attacks and other means of gaining unauthorized access to our products, systems, and data. For instance, cyber criminals or insiders may target us or third parties with which we have a business relationship in order to obtain data, or in a manner that disrupts our operations or compromises our products, or the systems into which our products are integrated.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assessing the continually evolving privacy and data security regimes and measures we believe are appropriate. Since these privacy and data security regimes are evolving and complex, especially for a global business like ours, we may need to update or enhance our compliance measures as our products, markets, and customer demands further develop, and these updates or enhancements may require implementation costs, which may be material. In addition, we may not be able to monitor and react to all developments in a timely manner. The compliance measures we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our customers and business partners to lose trust in us, which could have an adverse effect on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may be adversely affected if we fail to comply with the regulatory requirements under the Federal Food, Drug, and Cosmetic Act or other requirements imposed by the Food and Drug Administration, or FDA.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lidar technology company, we rely on laser technology in our products and are therefore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and unnecessary exposure. Manufacturers are required to certify by way of product labeling and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subject to various environmental laws and regulations that could impose substantial costs upon us and cause delays in building our production facilities.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been responding to these issues. The increased focus on environmental sustainability may result in new regulations and customer requirements, or changes in current regulations and customer requirements, which could materially and adversely impact our business, results of operations, and financial condition. If we are unable to effectively manage real or perceived issues, including concerns about environmental impacts or similar matters, sentiments toward us or our products could be negatively impacted, and our business, results of operations, and financial condition could suffer. In addition, any new environmental regulations or laws might increase the cost of raw materials or key components we use in our products. Environmental regulations require us to reduce product energy usage, monitor and exclude an expanding list of restricted substances, and participate in required recovery and recycling of our products. Environmental and health and safety laws and regulations can be complex, and we have limited experience complying with such laws and regulations. Capital and operating expenses needed to comply with environmental laws and regulations can be significant, and violations may result in substantial fines and penalties, damages, suspension of production, or a cessation of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Contamination at properties we currently operate at, where we formerly operated, or to which hazardous substances were sent by us, may subject us to liability pursuant to environmental laws and regulations, including, but not limited to, the Comprehensive Environmental Response, Compensation and Liability Act of 1980, commonly known as CERCLA, which can impose liability for the full amount of remediation-related costs without regard to fault, for the investigation and cleanup of contaminated soil and ground water, for remediating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operating results. We may face unexpected delays in obtaining the requisite permit and approvals in connection with our planned production facilities that could require significant time and financial resources and delay our ability to operate these facilities, which would adversely impact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Regulations related to conflict minerals may cause us to incur additional expenses and could limit the supply and increase the costs of certain metals used in the manufacturing of our products.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requirements of the Dodd-Frank Wall Street Reform and Consumer Protection Act of 2010, or the Dodd-Frank Act, which requires us to determine, disclose, and report whether our products contain metals sourced from specified geographies; these metals are generally referred to as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It is also possible that our reputation may be adversely affected if we determine that certain of our products contain minerals not determined to be conflict-free or if we are unable to alter our products, processes, or sources of supply to avoid use of such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Our Intellectual Property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Despite the actions we take to defend and protect our intellectual property, we may not be able to adequately protect or enforce our intellectual property rights or prevent unauthorized parties from copying or reverse engineering our solutions. Our efforts to protect and enforce our intellectual property rights and prevent third parties from violating our rights may be costly.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success of our products and our business depend in large part on our ability to obtain patents and other intellectual property rights and maintain adequate legal protection for our products in the United States and other foreign jurisdictions. We rely on a combination of patent, trademark, copyright, and trade secret laws, as well as confidentiality agreements and other contractual restrictions, to establish and protect our proprietary rights, all of which can only provide limited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guarantee that any patents will be issued with respect to our currently pending patent applications or that any trademarks will be registered with respect to our currently pending applications in a manner that gives us adequate defensive protection or competitive advantages, if at all, or that any patents issued to us or any trademarks registered by us will not be challenged, invalidated, or circumvented. We have filed for patents and trademarks in the United States and in certain foreign jurisdictions, but such protections may not be available in all countries in which we operate or in which we seek to enforce our intellectual property rights, or may be difficult to enforce in practice. Our currently issued patents and trademarks, and any patents and trademarks that may be issued or registered, as applicable, in the future with respect to pending or future applications, may not provide sufficiently broad protection or may not prove to be enforceable in actions against alleged infringers. We cannot be certain that the steps we have taken will prevent unauthorized use of our technology or the reverse engineering of our technology. Moreover, others may independently develop technologies that are competitive to us or infringe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Protecting against the unauthorized use of our intellectual property, products, and other proprietary rights is expensive and can be difficult, particularly outside of the United States. Unauthorized parties may attempt to copy or reverse engineer our lidar technology or certain aspects of our solutions that we consider proprietary.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such litigation, whether initiated by us or a third party, could result in substantial costs and divert management, either of which could adversely affect our business, operating results, and financial condition. Even if we obtain favorable outcomes in any litigation, we may not be able to enforce the remedies, especially in the context of unauthorized parties copying or reverse engineering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many of our current and potential competitors may have the ability to dedicate substantially greater resources to defending intellectual property infringement claims and to enforcing their intellectual property rights than we can. Attempts to enforce our rights against third parties could also provoke these third parties to assert their own intellectual property or other rights against us or result in a decision that invalidates or narrows the scope of our rights, in whole or in part. Effective patent, trademark, copyright, and trade secret protection may not be available in every country in which our products are available, and competitors based in other countries may sell infringing products in one or more markets. Failure to adequately protect our intellectual property rights could result in our competitors offering similar products, potentially resulting in the loss of some of our competitive advantage and a decrease in our revenue, which would adversely affect our business, operating results,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Third-party claims that we are infringing intellectual property, whether successful or not, could subject us to costly and time-consuming litigation or expensive licenses, and our business could be adversely affected.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believe we hold key patents related to our products, a number of companies, both within and outside of the lidar industry, hold other patents covering various aspects of lidar products. In addition to these patents, participants in this industry typically also protect their technology, especially embedded software, through copyrights and trade secrets. As a result, there is frequent litigation based on allegations of infringement, misappropriation, or other violations of intellectual property rights. We have received, and in the future may receive, inquiries from other intellectual property holders and may become subject to claims that we infringe their intellectual property rights, particularly as we expand our presence in the market, expand to new use cases, and face increasing competition. In addition, parties may claim that the names and branding of our products infringe their trademark rights in certain countries or territories. If such a claim were to prevail, we may have to change the names and branding of our products in the affected territories, and we could incur other costs.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have a number of agreements in effect pursuant to which we have agreed to defend, indemnify, and hold harmless our customers, suppliers, and channel partners and other partners from damages and costs which may arise from the infringement of our products by third-party patents or other intellectual property rights. The scope of these indemnity obligations varies, but may, in some instances, include indemnification for damages and expenses, including attorneys’ fees. Our insurance may not cover any or all intellectual property infringement claims. A claim that our products infringe a third party’s intellectual property rights, even if untrue, could adversely affect our relationships with our customers, may deter future customers from purchasing our products, and could expose us to costly litigation and settlement expenses. Even if we are not a party to any litigation between a customer and a third party relating to the infringement of our products, an adverse outcome in any such litigation could make it more difficult for us to defend our products against intellectual property infringement claims in any subsequent litigation in which we are a named party. Any of these results could adversely affect our brand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defense of intellectual property rights claims brought against us or our customers, suppliers, or channel partners, with or without merit, could be time-consuming, expensive to litigate or settle, divert management resources and attention, and force us to acquire intellectual property rights and licenses, which may involve substantial royalty or other payments and may not be available on acceptable terms, or at all. Further, a party making such a claim, if successful, could secure a judgment that requires us to pay substantial damages or obtain an injunction prohibiting us from continuing to sell certain products. An adverse determination could potentially invalidate our intellectual property rights, which could adversely affect our ability to offer our products to our customers and may require that we procure or develop substitute products that do not infringe, which could require significant effort and expense. Any of these events could adversely affect our business, operating results,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Any patent applications we file may not ultimately issue or be registered, as we anticipated, or at all, which may have a material adverse effect on our ability to prevent others from commercially exploiting products similar to ours.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be certain that we are the first inventor of the subject matter to which we have filed a particular patent application, or if we are the first party to file such a patent application. If another party has filed a patent application regarding the same subject matter as we have, we may not be entitled to the protection sought by the patent application. Nor can we be certain that the claims included in a patent application will ultimately be allowed in the applicable issued patent. Further, the scope of protection of issued patent claims is often difficult to determine. As a result, we cannot be certain that the patent applications that we file will ultimately issue, or that our issued patents will afford protection against competitors with similar technology. In addition, our competitors may design around our issued patents, which may adversely affect our business, prospects, financial condition, and operating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 addition to patented technology, we rely on our unpatented proprietary technology, trade secrets, processes, and know-how.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trade secrets, designs, know-how, and other confidential information to protect our intellectual property that may not be patentable or subject to copyright, trademark, trade dress, or service mark protection, or that we believe is best protected by means that do not require public disclosure. We generally seek to protect this information by entering into confidentiality agreements, or consulting services or employment agreements that contain non-disclosure and non-use provisions with our employees, consultants, contractors, commercial partners, vendors, and other third parties. However, we may fail to enter into the necessary agreements, and even if entered into, these agreements may be breached or may otherwise fail to provide adequate protection, prevent disclosure, third-party infringement, or misappropriation of our trade secrets,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or designated in the agreements between such parties and us to be jointly owned,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rely on physical and electronic security measures to protect our proprietary information, but we cannot provide assurance that these security measures will not be breached or will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employ third-party licensed software for use in our business, and the inability to maintain these licenses, errors in the software, or the terms of open source licenses, could result in increased costs or reduced service levels, which would adversely affect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these alternatives may not always be available, or it may be difficult or costly to switch to an alternative.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Some of the third-party software used by us is licensed under the terms of open source software licenses. Companies that incorporate open source software into their technologies have, from time to time, faced claims challenging the use of open source software and/or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such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attempt to ensure that open source software is not used in a manner that would require us to disclose our internally developed source code or that would otherwise breach the terms of an open source agreement, such use could inadvertently occur. Any requirement to disclose our internally developed source code or pay damages for breach of contract or copyright infringement could have a material adverse effect on our business, financial condition, and results of operations and could help our competitors develop services that are similar to or better than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be subject to damages resulting from claims that we or our employees have wrongfully used or disclosed alleged trade secrets of our employees</w:t>
      </w:r>
      <w:r>
        <w:rPr>
          <w:rFonts w:ascii="Times New Roman" w:hAnsi="Times New Roman"/>
          <w:caps w:val="false"/>
          <w:smallCaps w:val="false"/>
          <w:sz w:val="20"/>
        </w:rPr>
        <w:t xml:space="preserve">’ </w:t>
      </w:r>
      <w:r>
        <w:rPr>
          <w:rFonts w:ascii="Times New Roman" w:hAnsi="Times New Roman"/>
          <w:b/>
          <w:i/>
          <w:caps w:val="false"/>
          <w:smallCaps w:val="false"/>
          <w:sz w:val="20"/>
        </w:rPr>
        <w:t>former employers</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be subject to claims that we or our employees have inadvertently or otherwise used or disclosed trade secrets or other proprietary information of an employee’s former employer. Litigation may be necessary to defend against these claims. If we fail to adequately defend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Being a Public Company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Interest in our common stock from retail and other individual investors could result in increased volatility in the market price of our common stock, which could have a material adverse impact on the market price of our common stock and your investment.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Retail and other individual investors, which we believe make up a significant segment of our overall stockholder base, may have played a significant role in the market dynamics that have resulted in substantial volatility in the trading volume and market price of our stock, similar to what has been experienced by, for example, the common stock of GameStop Corp., AMC Entertainment Holdings, Inc., and certain other so-called “meme” stocks. At such times, the rapid and substantial increases or decreases in the trading volume or market price of our stock may be unrelated to our operating performance, macroeconomic trends, or industry fundamentals, and substantial increases in the trading volume or value of our stock at such times may obscure the significant risks and uncertainties that we face. This volatility has been attributed, in part, to strong and atypical retail investor interest, which may be expressed on financial trading and other social media sites and online forums.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in the past, and may in the future, experience significant interest in our common stock from such investors, and as a result the trading volume and market price of our common stock has been and may continue to be volatile. There is no guarantee that we will continue to benefit from such retail and individual investor interest, even if our business or financial performance is strong. If investor sentiment changes, this could have a material adverse impact on the market price of our common stock and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Retail and individual investor sentiment (including as may be expressed on financial trading and other social media sites and online forums) may also influence the amount and status of short interest in our common stock. This could increase the likelihood of our common stock being the target of a “short squeeze,” particularly because a proportion of our common stock has been in the past and may in the future be traded by short sellers. A short squeeze and/or focused investor trading in anticipation of a short squeeze could lead to volatile price movements in shares of our common stock that may be unrelated or disproportionate to our operating performance or prospects. Or, if investors no longer believe a short squeeze is viable, the market price of our common stock may rapidly decline. Accordingly, investors that purchase shares of our common stock during what may be considered a short squeeze may lose a significant portion of their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business and operations could be negatively affected if we become subject to stockholder activism, which could cause us to incur significant expense, disrupt our business, result in a proxy contest or litigation, or impact our stock price.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 activism, which can take many forms or arise in a variety of situations,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has been increasing recently. In conjunction with our 2025 annual meeting of stockholders, a group of dissident stockholders engaged in a proxy contest with us.  Although we were ultimately successful, the proxy contest significantly increased the costs associated with our annual meeting and caused significant management distraction. We may be subject to proxy contests in the future. Volatility in the price of our common stock or other reasons has caused, and may in the future cause, us to become the target of securities litigation or stockholder activism. Activist stockholders who disagree with the composition of our Board, our strategy, or the way we are managed may seek to effect change through various strategies and channels, such as through commencing a proxy contest, making public statements critical of our performance or business, or engaging in other similar activities. Responding to any actions by activist stockholders, including proxy contests, can be costly and time-consuming, divert the attention of management, our Board, and our employees, and may be disruptive to our operations. We may be required to incur significant fees and other expenses related to activist stockholder matters, including for third-party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stock price has been and could be subject to significant fluctuation or otherwise be adversely affected by the events, risks, and uncertainties of any stockholder activism. Additionally, perceived uncertainties as to our future direction as a result of stockholder activism, including potential changes to the composition of our Board, may lead to the perception of a change in the strategic direction of our business; the loss of key employees, including our executive officers; a perception of instability or lack of continuity, particularly if the stockholder activism campaign results in the appointment of one or more activist stockholders to our Board, which may cause concern to our existing or potential collaboration partners (including Tier 1 automotive suppliers), employees, and other stockholders; may be exploited by our competitors; may result in the loss of potential business opportunities or limit our ability to develop and commercialize our products; and may make it more difficult to attract and retain qualified personnel and business partners. In addition, activist directors may make overly burdensome demands of our management and materially and unnecessarily increase management’s workload. Furthermore,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securities or industry analysts cease publishing research or reports about us, our business, our competitors, or our market, or if they change their recommendations regarding our common stock adversely, then the price and trading volume of our common stock could decline.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trading market for our common stock may be influenced by the research and reports that industry or securities analysts may publish about us, our business, our competitors, or our market. If any of the analysts who cover us change their recommendation regarding our stock adversely, or provide more favorable relative recommendations about our competitors, the price of our common stock would likely decline. In the past, analysts that previously covered us discontinued their coverage. If the analysts that currently cover us stop doing so or fail to regularly publish reports on us, we could lose visibility in the financial markets, which could cause our stock price or trading volume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will incur increased costs as a result of operating as a public company, and our management will devote substantial time to compliance initiatives.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incur significant legal, accounting, and other expenses that we did not incur as a private company, and these expenses will likely increase in 2026 now that we are no longer an emerging growth company, as defined in Section 2(a) of the Securities Act. As a public company, we are subject to the reporting requirements of the Exchange Act, the Sarbanes-Oxley Act, and the Dodd-Frank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These increased costs will increase our net loss.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there continues to be public interest and increased legislative pressure related to environmental, social, and governance, or ESG, activities of public companies. For example, there is a growing number of states requiring organizations to report their board composition as well as mandating gender diversity and representation from underrepresented communities. We risk negative stockholder reaction, including from proxy advisory services, as well as damage to our brand and reputation, if we do not act responsibly in a number of key areas, including diversity and inclusion, environmental stewardship, support for local communities, corporate governance and transparency, and considering ESG and human capital factors 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management team has limited experience managing a public company.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the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their roles and responsibilities. Being a public company subjects us to significant regulatory oversight and reporting obligations under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provision of our Charter that authorizes our board of directors to issue preferred stock from time to time based on terms approved by our board of directors may delay, defer, or prevent a tender offer or takeover attempt that stockholders might consider in their best interest.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provision of our Charter that authorizes our board of directors to issue preferred stock from time to time based on terms approved by our board of directors may delay, defer, or prevent a tender offer or takeover attempt that stockholders might consider to be in their best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Charter provides, subject to limited exceptions, that the Court of Chancery of the State of Delaware and the federal district courts of the United States of America will be the sole and exclusive forums for substantially all disputes between us and our stockholders, which could limit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our directors, officers, or employees.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Charter requires, unless we consent in writing to the selection of an alternative forum, that derivative actions brought in our name, actions against our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In regard to any action arising under the Exchange Act, our Charter provides that the federal district courts of the United States of America will be the sole and exclusive forum. In regard to any action arising under the Securities Act or the rules and regulations promulgated thereunder, our Charter provides that, unless we consent in writing to the selection of an alternative forum, the federal district courts of the United States of America will, to the fullest extent permitted by law, be the sole and exclusive forum.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27 of the Exchange Act creates exclusive federal jurisdiction over all lawsuits brought to enforce any duty or liability created by the Exchange Act or the rules and regulations thereunder. As a result, the exclusive forum provision will not apply to lawsuits brought to enforce any duty or liability created by the Exchange Act or any other claim for which the federal courts have exclusive jurisdiction. Our Charter provides that the exclusive forum provision will be applicable to the Securities Act to the fullest extent permitted by applicable law. We note that there is uncertainty as to whether a court would enforce the exclusive forum provision and that this exclusive forum provision does not purport to waive compliance with any federal securities laws and the rules and regulations thereunder. If a court were to find such provision to be inapplicable or unenforceable in an action, we may incur additional costs associated with resolving such action in another jurisdiction, which could harm our business, operating results,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person or entity purchasing or otherwise acquiring any interest in shares of our common stock shall be deemed to have notice of and consented to the forum provisions in our Charter. This choice of forum provision may limit the ability of one of our stockholders to bring a claim in a judicial forum that such stockholder might believe is more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another jurisdiction, which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Sales of a substantial number of shares of our common stock, including under our at-the-market equity offering program and the issuance of shares upon vesting of equity awards, have diluted and may continue to dilute our existing stockholders, adversely affect the market price of our common stock, and impair our ability to raise capital in the future.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financed a significant portion of our operations through sales of our common stock, including through our at-the-market equity offering program, and we expect to continue to do so for the foreseeable future. Through June 30, 2026, we had sold 24,070,541 shares under our at-the-market equity offering program with A.G.P. for aggregate gross proceeds of approximately $70.4 million, and approximately $54.6 million of capacity remained available under that program. Our weighted average shares outstanding increased from 19,125,970 for the three months ended June 30, 2025 to 45,915,091 for the three months ended June 30, 2026, representing dilution to stockholders who held shares prior to those sales. We may continue to sell shares under an at-the-market program or in other offerings at prices and in amounts we determine at the time of sale, which may be at prices below the then-current market price or below the price you paid for your shares. We may not be required to give advance notice of, or obtain stockholder approval for, such sales, and investors may have no opportunity to limit or avoid the dilutive impact of such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sales under an at-the-market program are made into the trading market at prevailing prices, the price at which we sell may be substantially below the price paid by existing stockholders, and sales may occur at times when our stock price is depressed. Sales of substantial amounts of our common stock, or the perception that such sales could occur, could cause the market price of our common stock to decline significantly and could impair our ability to raise capital on acceptable terms. In addition, shares issuable upon vesting of outstanding equity awards, including the additional 6,750,000 shares reserved for issuance under our equity incentive plan as approved by our stockholders at our 2026 annual meeting, and upon exercise of outstanding warrants, may further dilute existing stockholders. We may also issue additional shares in connection with future acquisitions, strategic transactions, or other corporate purposes, which would result in additional dilution. We cannot predict the effect, if any, that future sales or issuances of shares of our common stock, or the ability of shares for future sale or issuance, will have on the market price of our common stock.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 </w:t>
      </w:r>
      <w:r>
        <w:rPr>
          <w:rFonts w:ascii="Times New Roman" w:hAnsi="Times New Roman"/>
          <w:b/>
          <w:i/>
          <w:caps w:val="false"/>
          <w:smallCaps w:val="false"/>
          <w:sz w:val="20"/>
        </w:rPr>
        <w:t>We do not expect to declare any dividends in the foreseeable future.</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anticipate declaring any cash dividends to holders of our common stock in the foreseeable future. Consequently, our stockholders may need to rely on sales of their shares after price appreciation, which may never occur, as the only way to realize any future gains on their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unregistered"/>
      <w:bookmarkEnd w:id="18"/>
      <w:r>
        <w:rPr>
          <w:rFonts w:ascii="Times New Roman" w:hAnsi="Times New Roman"/>
          <w:b/>
          <w:caps w:val="false"/>
          <w:smallCaps w:val="false"/>
          <w:sz w:val="20"/>
        </w:rPr>
        <w:t>Item 2. Unregistered Sales of Equity Securities and Use of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defaults"/>
      <w:bookmarkEnd w:id="19"/>
      <w:r>
        <w:rPr>
          <w:rFonts w:ascii="Times New Roman" w:hAnsi="Times New Roman"/>
          <w:b/>
          <w:caps w:val="false"/>
          <w:smallCaps w:val="false"/>
          <w:sz w:val="20"/>
        </w:rPr>
        <w:t>Item 3. Defaults Upon Senior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mine"/>
      <w:bookmarkEnd w:id="20"/>
      <w:r>
        <w:rPr>
          <w:rFonts w:ascii="Times New Roman" w:hAnsi="Times New Roman"/>
          <w:b/>
          <w:caps w:val="false"/>
          <w:smallCaps w:val="false"/>
          <w:sz w:val="20"/>
        </w:rPr>
        <w:t>Item 4. Mine Safety Disclosures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1" w:name="otherinfo"/>
      <w:bookmarkEnd w:id="21"/>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 xml:space="preserve">(a) </w:t>
      </w:r>
      <w:r>
        <w:rPr>
          <w:rStyle w:val="Emphasis"/>
          <w:rFonts w:ascii="Times New Roman" w:hAnsi="Times New Roman"/>
          <w:i/>
          <w:caps w:val="false"/>
          <w:smallCaps w:val="false"/>
          <w:sz w:val="20"/>
        </w:rPr>
        <w:t>None</w:t>
      </w:r>
      <w:r>
        <w:rPr>
          <w:rFonts w:ascii="Times New Roman" w:hAnsi="Times New Roman"/>
          <w:caps w:val="false"/>
          <w:smallCaps w:val="false"/>
          <w:sz w:val="20"/>
        </w:rPr>
        <w:t xml:space="preserve"> </w:t>
      </w:r>
    </w:p>
    <w:p>
      <w:pPr>
        <w:pStyle w:val="TextBody"/>
        <w:bidi w:val="0"/>
        <w:spacing w:before="0" w:after="0"/>
        <w:ind w:left="0" w:right="0" w:firstLine="720"/>
        <w:jc w:val="left"/>
        <w:rPr/>
      </w:pPr>
      <w:r>
        <w:rPr>
          <w:rFonts w:ascii="Times New Roman" w:hAnsi="Times New Roman"/>
          <w:i/>
          <w:caps w:val="false"/>
          <w:smallCaps w:val="false"/>
          <w:sz w:val="20"/>
        </w:rPr>
        <w:t xml:space="preserve">(b) </w:t>
      </w:r>
      <w:r>
        <w:rPr>
          <w:rStyle w:val="Emphasis"/>
          <w:rFonts w:ascii="Times New Roman" w:hAnsi="Times New Roman"/>
          <w:i/>
          <w:caps w:val="false"/>
          <w:smallCaps w:val="false"/>
          <w:sz w:val="20"/>
        </w:rPr>
        <w:t>None</w:t>
      </w:r>
      <w:r>
        <w:rPr>
          <w:rFonts w:ascii="Times New Roman" w:hAnsi="Times New Roman"/>
          <w:caps w:val="false"/>
          <w:smallCaps w:val="false"/>
          <w:sz w:val="20"/>
        </w:rPr>
        <w:t xml:space="preserve"> </w:t>
      </w:r>
    </w:p>
    <w:p>
      <w:pPr>
        <w:pStyle w:val="TextBody"/>
        <w:bidi w:val="0"/>
        <w:spacing w:before="0" w:after="0"/>
        <w:ind w:left="0" w:right="0" w:firstLine="720"/>
        <w:jc w:val="left"/>
        <w:rPr/>
      </w:pPr>
      <w:r>
        <w:rPr>
          <w:rFonts w:ascii="Times New Roman" w:hAnsi="Times New Roman"/>
          <w:i/>
          <w:caps w:val="false"/>
          <w:smallCaps w:val="false"/>
          <w:sz w:val="20"/>
        </w:rPr>
        <w:t xml:space="preserve">(c) 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Trading Plans</w:t>
      </w:r>
      <w:r>
        <w:rPr>
          <w:rFonts w:ascii="Times New Roman" w:hAnsi="Times New Roman"/>
          <w:caps w:val="false"/>
          <w:smallCaps w:val="false"/>
          <w:sz w:val="20"/>
        </w:rPr>
        <w:t xml:space="preserv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2" w:name="exhibits"/>
      <w:bookmarkEnd w:id="22"/>
      <w:r>
        <w:rPr>
          <w:rFonts w:ascii="Times New Roman" w:hAnsi="Times New Roman"/>
          <w:b/>
          <w:caps w:val="false"/>
          <w:smallCaps w:val="false"/>
          <w:sz w:val="20"/>
        </w:rPr>
        <w:t>Item 6. Exhibits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899"/>
        <w:gridCol w:w="4099"/>
        <w:gridCol w:w="1558"/>
        <w:gridCol w:w="831"/>
        <w:gridCol w:w="1187"/>
        <w:gridCol w:w="672"/>
        <w:gridCol w:w="959"/>
      </w:tblGrid>
      <w:tr>
        <w:trPr/>
        <w:tc>
          <w:tcPr>
            <w:tcW w:w="899"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Number</w:t>
            </w:r>
          </w:p>
        </w:tc>
        <w:tc>
          <w:tcPr>
            <w:tcW w:w="4099"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1558"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8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Number</w:t>
            </w:r>
          </w:p>
        </w:tc>
        <w:tc>
          <w:tcPr>
            <w:tcW w:w="1187"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Exhibit/Appendix Reference</w:t>
            </w:r>
          </w:p>
        </w:tc>
        <w:tc>
          <w:tcPr>
            <w:tcW w:w="672"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959"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Filed Herewith</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Second Amended and Restated Certificate of Incorporation of AEye, Inc.</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08/23/2021</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caps w:val="false"/>
                  <w:smallCaps w:val="false"/>
                  <w:sz w:val="20"/>
                </w:rPr>
                <w:t>Certificate of Amendment of the Second Amended and Restated Certificate of Incorporation of AEye, Inc.</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05/11/2023</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3.3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Second certificate of Amendment of the Second Amended and Restated Certificate of Incorporation of AEye, Inc.</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12/29/2023</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caps w:val="false"/>
                  <w:smallCaps w:val="false"/>
                  <w:sz w:val="20"/>
                </w:rPr>
                <w:t>Amended and Restated Bylaws of AEye, Inc.</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001-39699</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03/07/2025</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10.1+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AEye, Inc. 2025 Employment Inducement Incentive Award Plan</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S-8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333-292659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10.3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01/09/2026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10.2+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Forms of Notice of Grant of Restricted Stock Units and Restricted Stock Units Agreement under the AEye, Inc. 2025 Employment Inducement Incentive Award Plan</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S-8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333-292659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10.4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01/09/2026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10.3+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Notice of Grant of Performance Stock Units (Cash-Settlement Option)</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8-K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001-39699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10.1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02/11/2026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10.4+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Notice of Grant of Restricted Stock Units (Cash-Settlement Option)&gt;</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8-K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001-39699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10.2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02/11/2026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10.5+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Performance Stock Units Agreement (Cash-Settlement Option)</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8-K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001-39699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10.3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02/11/2026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10.6+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Restricted Stock Units Agreement (Cash-Settlement Option)</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8-K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001-39699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10.4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02/11/2026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10.7+ </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"http://www.sec.gov/ix?doc=/Archives/edgar/data/0001818644/000110465926036805/tm2519036-3_def14a.htm" \l "TOC"</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Amended and Restated AEye, Inc. 2021 Equity Incentive Plan</w:t>
            </w:r>
            <w:r>
              <w:rPr>
                <w:rStyle w:val="InternetLink"/>
                <w:sz w:val="20"/>
                <w:rFonts w:ascii="Times New Roman;Times;serif" w:hAnsi="Times New Roman;Times;serif"/>
              </w:rPr>
              <w:fldChar w:fldCharType="end"/>
            </w:r>
          </w:p>
        </w:tc>
        <w:tc>
          <w:tcPr>
            <w:tcW w:w="1558"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AEye, Inc. Definitive Proxy Statement on Schedule 14A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001-39699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Annex A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03/30/2026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pPr>
            <w:r>
              <w:rPr/>
              <w:t> </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w:anchor="ex_968662.htm">
              <w:r>
                <w:rPr>
                  <w:rStyle w:val="InternetLink"/>
                  <w:rFonts w:ascii="Times New Roman;Times;serif" w:hAnsi="Times New Roman;Times;serif"/>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w:anchor="ex_968663.htm">
              <w:r>
                <w:rPr>
                  <w:rStyle w:val="InternetLink"/>
                  <w:rFonts w:ascii="Times New Roman;Times;serif" w:hAnsi="Times New Roman;Times;serif"/>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4099"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hyperlink w:anchor="ex_968664.htm">
              <w:r>
                <w:rPr>
                  <w:rStyle w:val="InternetLink"/>
                  <w:rFonts w:ascii="Times New Roman;Times;serif" w:hAnsi="Times New Roman;Times;serif"/>
                  <w:caps w:val="false"/>
                  <w:smallCaps w:val="false"/>
                  <w:sz w:val="20"/>
                  <w:u w:val="single"/>
                </w:rPr>
                <w:t>Certification of Principal Executive Officer and Principal Financial Officer pursuant to 18 U.S.C. Section 1350, as adopted pursuant to Section 906 of the Sarbanes-Oxley Act of 2002</w:t>
              </w:r>
            </w:hyperlink>
          </w:p>
        </w:tc>
        <w:tc>
          <w:tcPr>
            <w:tcW w:w="1558"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83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8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6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95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8912" w:type="dxa"/>
        <w:jc w:val="left"/>
        <w:tblInd w:w="0" w:type="dxa"/>
        <w:tblLayout w:type="fixed"/>
        <w:tblCellMar>
          <w:top w:w="28" w:type="dxa"/>
          <w:left w:w="28" w:type="dxa"/>
          <w:bottom w:w="28" w:type="dxa"/>
          <w:right w:w="0" w:type="dxa"/>
        </w:tblCellMar>
      </w:tblPr>
      <w:tblGrid>
        <w:gridCol w:w="841"/>
        <w:gridCol w:w="7381"/>
        <w:gridCol w:w="116"/>
        <w:gridCol w:w="116"/>
        <w:gridCol w:w="116"/>
        <w:gridCol w:w="116"/>
        <w:gridCol w:w="226"/>
      </w:tblGrid>
      <w:tr>
        <w:trPr/>
        <w:tc>
          <w:tcPr>
            <w:tcW w:w="84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738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c>
          <w:tcPr>
            <w:tcW w:w="11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11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11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11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226"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4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7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22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4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7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22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4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7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22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4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7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22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4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7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22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84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73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116"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pPr>
            <w:r>
              <w:rPr/>
              <w:t> </w:t>
            </w:r>
          </w:p>
        </w:tc>
        <w:tc>
          <w:tcPr>
            <w:tcW w:w="226"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certifications attached as Exhibit 32.1 that accompanies this Quarterly Report on Form 10-Q are deemed furnished and not filed with the Securities and Exchange Commission and are not to be incorporated by reference into any filing of AEye,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a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3" w:name="sigs"/>
      <w:bookmarkEnd w:id="23"/>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Dated:  August 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AEye,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Matthew Fisch</w:t>
      </w:r>
      <w:r>
        <w:rPr>
          <w:rFonts w:ascii="Times New Roman" w:hAnsi="Times New Roman"/>
          <w:caps w:val="false"/>
          <w:smallCaps w:val="false"/>
          <w:sz w:val="20"/>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Matthew Fisch</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Chief Executive Officer and Chairman of the Board</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Conor Tierney</w:t>
      </w:r>
      <w:r>
        <w:rPr>
          <w:rFonts w:ascii="Times New Roman" w:hAnsi="Times New Roman"/>
          <w:caps w:val="false"/>
          <w:smallCaps w:val="false"/>
          <w:sz w:val="20"/>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Conor Tierney</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78</w:t>
      </w:r>
    </w:p>
    <w:p>
      <w:pPr>
        <w:pStyle w:val="TextBody"/>
        <w:bidi w:val="0"/>
        <w:spacing w:before="0" w:after="0"/>
        <w:ind w:left="0" w:right="0" w:hanging="0"/>
        <w:jc w:val="right"/>
        <w:rPr>
          <w:rFonts w:ascii="Times New Roman" w:hAnsi="Times New Roman"/>
          <w:caps w:val="false"/>
          <w:smallCaps w:val="false"/>
          <w:sz w:val="20"/>
        </w:rPr>
      </w:pPr>
      <w:bookmarkStart w:id="24" w:name="ex_968662.htm"/>
      <w:bookmarkStart w:id="25" w:name="ksex_968662"/>
      <w:bookmarkEnd w:id="24"/>
      <w:bookmarkEnd w:id="25"/>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EXECUTIVE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Matthew Fisch, certify that:</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70"/>
        <w:gridCol w:w="53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AEye,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6" w:name="led576760F20253281745815182598"/>
      <w:bookmarkEnd w:id="26"/>
      <w:r>
        <w:rPr>
          <w:rFonts w:ascii="Times New Roman" w:hAnsi="Times New Roman"/>
          <w:caps w:val="false"/>
          <w:smallCaps w:val="false"/>
          <w:sz w:val="20"/>
        </w:rPr>
        <w:t xml:space="preserve">August 6, 2026 </w:t>
      </w:r>
    </w:p>
    <w:tbl>
      <w:tblPr>
        <w:tblW w:w="3234" w:type="dxa"/>
        <w:jc w:val="left"/>
        <w:tblInd w:w="0" w:type="dxa"/>
        <w:tblLayout w:type="fixed"/>
        <w:tblCellMar>
          <w:top w:w="0" w:type="dxa"/>
          <w:left w:w="0" w:type="dxa"/>
          <w:bottom w:w="0" w:type="dxa"/>
          <w:right w:w="0" w:type="dxa"/>
        </w:tblCellMar>
      </w:tblPr>
      <w:tblGrid>
        <w:gridCol w:w="60"/>
        <w:gridCol w:w="365"/>
        <w:gridCol w:w="2715"/>
        <w:gridCol w:w="94"/>
      </w:tblGrid>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283"/>
              <w:jc w:val="left"/>
              <w:rPr/>
            </w:pPr>
            <w:r>
              <w:rPr/>
              <w:t>By:</w:t>
            </w:r>
          </w:p>
        </w:tc>
        <w:tc>
          <w:tcPr>
            <w:tcW w:w="2715" w:type="dxa"/>
            <w:tcBorders>
              <w:bottom w:val="single" w:sz="2" w:space="0" w:color="000000"/>
            </w:tcBorders>
            <w:tcMar>
              <w:bottom w:w="28" w:type="dxa"/>
            </w:tcMar>
            <w:vAlign w:val="center"/>
          </w:tcPr>
          <w:p>
            <w:pPr>
              <w:pStyle w:val="TableContents"/>
              <w:bidi w:val="0"/>
              <w:spacing w:before="0" w:after="283"/>
              <w:jc w:val="left"/>
              <w:rPr/>
            </w:pPr>
            <w:r>
              <w:rPr/>
              <w:t>/s/ Matthew Fisch</w:t>
            </w:r>
          </w:p>
        </w:tc>
        <w:tc>
          <w:tcPr>
            <w:tcW w:w="9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715" w:type="dxa"/>
            <w:tcBorders/>
            <w:vAlign w:val="center"/>
          </w:tcPr>
          <w:p>
            <w:pPr>
              <w:pStyle w:val="TableContents"/>
              <w:bidi w:val="0"/>
              <w:spacing w:before="0" w:after="283"/>
              <w:jc w:val="left"/>
              <w:rPr/>
            </w:pPr>
            <w:r>
              <w:rPr/>
              <w:t> </w:t>
            </w:r>
            <w:r>
              <w:rPr/>
              <w:t>Matthew Fisch</w:t>
            </w:r>
          </w:p>
        </w:tc>
        <w:tc>
          <w:tcPr>
            <w:tcW w:w="9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809" w:type="dxa"/>
            <w:gridSpan w:val="2"/>
            <w:tcBorders/>
            <w:vAlign w:val="center"/>
          </w:tcPr>
          <w:p>
            <w:pPr>
              <w:pStyle w:val="TableContents"/>
              <w:bidi w:val="0"/>
              <w:spacing w:before="0" w:after="283"/>
              <w:jc w:val="left"/>
              <w:rPr/>
            </w:pPr>
            <w:r>
              <w:rPr/>
              <w:t> </w:t>
            </w:r>
            <w:r>
              <w:rPr/>
              <w:t>Chief Executive Officer</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809" w:type="dxa"/>
            <w:gridSpan w:val="2"/>
            <w:tcBorders/>
            <w:vAlign w:val="center"/>
          </w:tcPr>
          <w:p>
            <w:pPr>
              <w:pStyle w:val="TableContents"/>
              <w:bidi w:val="0"/>
              <w:spacing w:before="0" w:after="283"/>
              <w:jc w:val="left"/>
              <w:rPr/>
            </w:pPr>
            <w:r>
              <w:rPr/>
              <w:t> </w:t>
            </w:r>
            <w:r>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7" w:name="ex_968663.htm"/>
      <w:bookmarkStart w:id="28" w:name="ksex_968663"/>
      <w:bookmarkEnd w:id="27"/>
      <w:bookmarkEnd w:id="28"/>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FINANCIAL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Conor Tierney, certify that:</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170"/>
        <w:gridCol w:w="53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AEye,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9" w:name="led576760F20253281745815224170"/>
      <w:bookmarkEnd w:id="29"/>
      <w:r>
        <w:rPr>
          <w:rFonts w:ascii="Times New Roman" w:hAnsi="Times New Roman"/>
          <w:caps w:val="false"/>
          <w:smallCaps w:val="false"/>
          <w:sz w:val="20"/>
        </w:rPr>
        <w:t xml:space="preserve">August 6, 2026 </w:t>
      </w:r>
    </w:p>
    <w:tbl>
      <w:tblPr>
        <w:tblW w:w="3159" w:type="dxa"/>
        <w:jc w:val="left"/>
        <w:tblInd w:w="0" w:type="dxa"/>
        <w:tblLayout w:type="fixed"/>
        <w:tblCellMar>
          <w:top w:w="0" w:type="dxa"/>
          <w:left w:w="0" w:type="dxa"/>
          <w:bottom w:w="0" w:type="dxa"/>
          <w:right w:w="0" w:type="dxa"/>
        </w:tblCellMar>
      </w:tblPr>
      <w:tblGrid>
        <w:gridCol w:w="60"/>
        <w:gridCol w:w="365"/>
        <w:gridCol w:w="2640"/>
        <w:gridCol w:w="94"/>
      </w:tblGrid>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283"/>
              <w:jc w:val="left"/>
              <w:rPr/>
            </w:pPr>
            <w:r>
              <w:rPr/>
              <w:t>By:</w:t>
            </w:r>
          </w:p>
        </w:tc>
        <w:tc>
          <w:tcPr>
            <w:tcW w:w="2640" w:type="dxa"/>
            <w:tcBorders>
              <w:bottom w:val="single" w:sz="2" w:space="0" w:color="000000"/>
            </w:tcBorders>
            <w:tcMar>
              <w:bottom w:w="28" w:type="dxa"/>
            </w:tcMar>
            <w:vAlign w:val="center"/>
          </w:tcPr>
          <w:p>
            <w:pPr>
              <w:pStyle w:val="TableContents"/>
              <w:bidi w:val="0"/>
              <w:spacing w:before="0" w:after="283"/>
              <w:jc w:val="left"/>
              <w:rPr/>
            </w:pPr>
            <w:r>
              <w:rPr/>
              <w:t>/s/ Conor Tierney</w:t>
            </w:r>
          </w:p>
        </w:tc>
        <w:tc>
          <w:tcPr>
            <w:tcW w:w="9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640" w:type="dxa"/>
            <w:tcBorders/>
            <w:vAlign w:val="center"/>
          </w:tcPr>
          <w:p>
            <w:pPr>
              <w:pStyle w:val="TableContents"/>
              <w:bidi w:val="0"/>
              <w:spacing w:before="0" w:after="283"/>
              <w:jc w:val="left"/>
              <w:rPr/>
            </w:pPr>
            <w:r>
              <w:rPr/>
              <w:t> </w:t>
            </w:r>
            <w:r>
              <w:rPr/>
              <w:t>Conor Tierney</w:t>
            </w:r>
          </w:p>
        </w:tc>
        <w:tc>
          <w:tcPr>
            <w:tcW w:w="9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734" w:type="dxa"/>
            <w:gridSpan w:val="2"/>
            <w:tcBorders/>
            <w:vAlign w:val="center"/>
          </w:tcPr>
          <w:p>
            <w:pPr>
              <w:pStyle w:val="TableContents"/>
              <w:bidi w:val="0"/>
              <w:spacing w:before="0" w:after="283"/>
              <w:jc w:val="left"/>
              <w:rPr/>
            </w:pPr>
            <w:r>
              <w:rPr/>
              <w:t> </w:t>
            </w:r>
            <w:r>
              <w:rPr/>
              <w:t>Chief Financial Officer</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734" w:type="dxa"/>
            <w:gridSpan w:val="2"/>
            <w:tcBorders/>
            <w:vAlign w:val="center"/>
          </w:tcPr>
          <w:p>
            <w:pPr>
              <w:pStyle w:val="TableContents"/>
              <w:bidi w:val="0"/>
              <w:spacing w:before="0" w:after="283"/>
              <w:jc w:val="left"/>
              <w:rPr/>
            </w:pPr>
            <w:r>
              <w:rPr/>
              <w:t> </w:t>
            </w: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30" w:name="ex_968664.htm"/>
      <w:bookmarkStart w:id="31" w:name="ksex_968664"/>
      <w:bookmarkEnd w:id="30"/>
      <w:bookmarkEnd w:id="31"/>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THE CHIEF EXECUTIVE OFFICER AND CHIEF FINANCIAL OFFICER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this Quarterly Report on Form 10-Q of AEye, Inc. (the “Company”) for the fiscal quarter ended </w:t>
      </w:r>
      <w:bookmarkStart w:id="32" w:name="led576760F20245281719608170667"/>
      <w:bookmarkEnd w:id="32"/>
      <w:r>
        <w:rPr>
          <w:rFonts w:ascii="Times New Roman" w:hAnsi="Times New Roman"/>
          <w:caps w:val="false"/>
          <w:smallCaps w:val="false"/>
          <w:sz w:val="20"/>
        </w:rPr>
        <w:t>June 30, 2026, as filed with the Securities and Exchange Commission on the date hereof (the “Report), the undersigned, Matthew Fisch, Chief Executive Officer of the Company, hereby certifies, pursuant to 18 U.S.C. Section 1350, as adopted pursuant to Section 906 of the Sarbanes-Oxley Act of 2002, that (i) the Report fully complies with the requirements of Section 13(a) or 15(d) of the Securities Exchange Act of 1934, as amended, and (ii) that information contained in such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3" w:name="led576760F20253281745815265113"/>
      <w:bookmarkEnd w:id="33"/>
      <w:r>
        <w:rPr>
          <w:rFonts w:ascii="Times New Roman" w:hAnsi="Times New Roman"/>
          <w:caps w:val="false"/>
          <w:smallCaps w:val="false"/>
          <w:sz w:val="20"/>
        </w:rPr>
        <w:t xml:space="preserve">August 6, 2026 </w:t>
      </w:r>
    </w:p>
    <w:tbl>
      <w:tblPr>
        <w:tblW w:w="3294" w:type="dxa"/>
        <w:jc w:val="left"/>
        <w:tblInd w:w="0" w:type="dxa"/>
        <w:tblLayout w:type="fixed"/>
        <w:tblCellMar>
          <w:top w:w="0" w:type="dxa"/>
          <w:left w:w="0" w:type="dxa"/>
          <w:bottom w:w="0" w:type="dxa"/>
          <w:right w:w="0" w:type="dxa"/>
        </w:tblCellMar>
      </w:tblPr>
      <w:tblGrid>
        <w:gridCol w:w="60"/>
        <w:gridCol w:w="425"/>
        <w:gridCol w:w="2715"/>
        <w:gridCol w:w="94"/>
      </w:tblGrid>
      <w:tr>
        <w:trPr/>
        <w:tc>
          <w:tcPr>
            <w:tcW w:w="60"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283"/>
              <w:jc w:val="left"/>
              <w:rPr/>
            </w:pPr>
            <w:r>
              <w:rPr/>
              <w:t>By: </w:t>
            </w:r>
          </w:p>
        </w:tc>
        <w:tc>
          <w:tcPr>
            <w:tcW w:w="2715" w:type="dxa"/>
            <w:tcBorders>
              <w:bottom w:val="single" w:sz="2" w:space="0" w:color="000000"/>
            </w:tcBorders>
            <w:tcMar>
              <w:bottom w:w="28" w:type="dxa"/>
            </w:tcMar>
            <w:vAlign w:val="center"/>
          </w:tcPr>
          <w:p>
            <w:pPr>
              <w:pStyle w:val="TableContents"/>
              <w:bidi w:val="0"/>
              <w:spacing w:before="0" w:after="283"/>
              <w:jc w:val="left"/>
              <w:rPr/>
            </w:pPr>
            <w:r>
              <w:rPr/>
              <w:t>/s/ Matthew Fisch</w:t>
            </w:r>
          </w:p>
        </w:tc>
        <w:tc>
          <w:tcPr>
            <w:tcW w:w="9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2715" w:type="dxa"/>
            <w:tcBorders/>
            <w:vAlign w:val="center"/>
          </w:tcPr>
          <w:p>
            <w:pPr>
              <w:pStyle w:val="TableContents"/>
              <w:bidi w:val="0"/>
              <w:spacing w:before="0" w:after="283"/>
              <w:jc w:val="left"/>
              <w:rPr/>
            </w:pPr>
            <w:r>
              <w:rPr/>
              <w:t> </w:t>
            </w:r>
            <w:r>
              <w:rPr/>
              <w:t>Matthew Fisch</w:t>
            </w:r>
          </w:p>
        </w:tc>
        <w:tc>
          <w:tcPr>
            <w:tcW w:w="9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2809" w:type="dxa"/>
            <w:gridSpan w:val="2"/>
            <w:tcBorders/>
            <w:vAlign w:val="center"/>
          </w:tcPr>
          <w:p>
            <w:pPr>
              <w:pStyle w:val="TableContents"/>
              <w:bidi w:val="0"/>
              <w:spacing w:before="0" w:after="283"/>
              <w:jc w:val="left"/>
              <w:rPr/>
            </w:pPr>
            <w:r>
              <w:rPr/>
              <w:t> </w:t>
            </w:r>
            <w:r>
              <w:rPr/>
              <w:t>Chief Executive Officer</w:t>
            </w:r>
          </w:p>
        </w:tc>
      </w:tr>
      <w:tr>
        <w:trPr/>
        <w:tc>
          <w:tcPr>
            <w:tcW w:w="60"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2809" w:type="dxa"/>
            <w:gridSpan w:val="2"/>
            <w:tcBorders/>
            <w:vAlign w:val="center"/>
          </w:tcPr>
          <w:p>
            <w:pPr>
              <w:pStyle w:val="TableContents"/>
              <w:bidi w:val="0"/>
              <w:spacing w:before="0" w:after="283"/>
              <w:jc w:val="left"/>
              <w:rPr/>
            </w:pPr>
            <w:r>
              <w:rPr/>
              <w:t> </w:t>
            </w:r>
            <w:r>
              <w:rPr/>
              <w:t>(Principal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this Quarterly Report on Form 10-Q of AEye, Inc. (the “Company”) for the fiscal quarter ended </w:t>
      </w:r>
      <w:bookmarkStart w:id="34" w:name="led576760F202452817196081706671"/>
      <w:bookmarkEnd w:id="34"/>
      <w:r>
        <w:rPr>
          <w:rFonts w:ascii="Times New Roman" w:hAnsi="Times New Roman"/>
          <w:caps w:val="false"/>
          <w:smallCaps w:val="false"/>
          <w:sz w:val="20"/>
        </w:rPr>
        <w:t>June 30, 2026, as filed with the Securities and Exchange Commission on the date hereof (the “Report), the undersigned, Conor Tierney, Chief Financial Officer of the Company, hereby certifies, pursuant to 18 U.S.C. Section 1350, as adopted pursuant to Section 906 of the Sarbanes-Oxley Act of 2002, that (i) the Report fully complies with the requirements of Section 13(a) or 15(d) of the Securities Exchange Act of 1934, as amended, and (ii) that information contained in such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5" w:name="led576760F20253281745815270511"/>
      <w:bookmarkEnd w:id="35"/>
      <w:r>
        <w:rPr>
          <w:rFonts w:ascii="Times New Roman" w:hAnsi="Times New Roman"/>
          <w:caps w:val="false"/>
          <w:smallCaps w:val="false"/>
          <w:sz w:val="20"/>
        </w:rPr>
        <w:t xml:space="preserve">August 6, 2026 </w:t>
      </w:r>
    </w:p>
    <w:tbl>
      <w:tblPr>
        <w:tblW w:w="3159" w:type="dxa"/>
        <w:jc w:val="left"/>
        <w:tblInd w:w="0" w:type="dxa"/>
        <w:tblLayout w:type="fixed"/>
        <w:tblCellMar>
          <w:top w:w="0" w:type="dxa"/>
          <w:left w:w="0" w:type="dxa"/>
          <w:bottom w:w="0" w:type="dxa"/>
          <w:right w:w="0" w:type="dxa"/>
        </w:tblCellMar>
      </w:tblPr>
      <w:tblGrid>
        <w:gridCol w:w="60"/>
        <w:gridCol w:w="365"/>
        <w:gridCol w:w="2668"/>
        <w:gridCol w:w="66"/>
      </w:tblGrid>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283"/>
              <w:jc w:val="left"/>
              <w:rPr/>
            </w:pPr>
            <w:r>
              <w:rPr/>
              <w:t>By:</w:t>
            </w:r>
          </w:p>
        </w:tc>
        <w:tc>
          <w:tcPr>
            <w:tcW w:w="2668" w:type="dxa"/>
            <w:tcBorders>
              <w:bottom w:val="single" w:sz="2" w:space="0" w:color="000000"/>
            </w:tcBorders>
            <w:tcMar>
              <w:bottom w:w="28" w:type="dxa"/>
            </w:tcMar>
            <w:vAlign w:val="center"/>
          </w:tcPr>
          <w:p>
            <w:pPr>
              <w:pStyle w:val="TableContents"/>
              <w:bidi w:val="0"/>
              <w:spacing w:before="0" w:after="283"/>
              <w:jc w:val="left"/>
              <w:rPr/>
            </w:pPr>
            <w:r>
              <w:rPr/>
              <w:t>/s/ Conor Tierney            </w:t>
            </w:r>
          </w:p>
        </w:tc>
        <w:tc>
          <w:tcPr>
            <w:tcW w:w="66"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668" w:type="dxa"/>
            <w:tcBorders/>
            <w:vAlign w:val="center"/>
          </w:tcPr>
          <w:p>
            <w:pPr>
              <w:pStyle w:val="TableContents"/>
              <w:bidi w:val="0"/>
              <w:spacing w:before="0" w:after="283"/>
              <w:jc w:val="left"/>
              <w:rPr/>
            </w:pPr>
            <w:r>
              <w:rPr/>
              <w:t> </w:t>
            </w:r>
            <w:r>
              <w:rPr/>
              <w:t>Conor Tierney</w:t>
            </w:r>
          </w:p>
        </w:tc>
        <w:tc>
          <w:tcPr>
            <w:tcW w:w="66"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734" w:type="dxa"/>
            <w:gridSpan w:val="2"/>
            <w:tcBorders/>
            <w:vAlign w:val="center"/>
          </w:tcPr>
          <w:p>
            <w:pPr>
              <w:pStyle w:val="TableContents"/>
              <w:bidi w:val="0"/>
              <w:spacing w:before="0" w:after="283"/>
              <w:jc w:val="left"/>
              <w:rPr/>
            </w:pPr>
            <w:r>
              <w:rPr/>
              <w:t> </w:t>
            </w:r>
            <w:r>
              <w:rPr/>
              <w:t>Chief Financial Officer</w:t>
            </w:r>
          </w:p>
        </w:tc>
      </w:tr>
      <w:tr>
        <w:trPr/>
        <w:tc>
          <w:tcPr>
            <w:tcW w:w="60"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c>
          <w:tcPr>
            <w:tcW w:w="2734" w:type="dxa"/>
            <w:gridSpan w:val="2"/>
            <w:tcBorders/>
            <w:vAlign w:val="center"/>
          </w:tcPr>
          <w:p>
            <w:pPr>
              <w:pStyle w:val="TableContents"/>
              <w:bidi w:val="0"/>
              <w:spacing w:before="0" w:after="283"/>
              <w:jc w:val="left"/>
              <w:rPr/>
            </w:pPr>
            <w:r>
              <w:rPr/>
              <w:t> </w:t>
            </w: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Form 10-Q to which it relates, is not deemed filed with the Securities and Exchange Commission and is not to be incorporated by reference into any filing of AEye,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18644/000119312521253301/d188241dex31.htm" TargetMode="External"/><Relationship Id="rId4" Type="http://schemas.openxmlformats.org/officeDocument/2006/relationships/hyperlink" Target="http://www.sec.gov/Archives/edgar/data/1818644/000181864423000006/exhibit32amendmentofcertif.htm" TargetMode="External"/><Relationship Id="rId5" Type="http://schemas.openxmlformats.org/officeDocument/2006/relationships/hyperlink" Target="http://www.sec.gov/Archives/edgar/data/1818644/000094787123001187/ss2860285_ex0301.htm" TargetMode="External"/><Relationship Id="rId6" Type="http://schemas.openxmlformats.org/officeDocument/2006/relationships/hyperlink" Target="http://www.sec.gov/Archives/edgar/data/1818644/000094787125000292/ss4549215_ex0301.htm" TargetMode="External"/><Relationship Id="rId7" Type="http://schemas.openxmlformats.org/officeDocument/2006/relationships/hyperlink" Target="http://www.sec.gov/Archives/edgar/data/1818644/000121390026003024/ea027233001ex10-3_aeye.htm" TargetMode="External"/><Relationship Id="rId8" Type="http://schemas.openxmlformats.org/officeDocument/2006/relationships/hyperlink" Target="http://www.sec.gov/Archives/edgar/data/1818644/000121390026003024/ea027233001ex10-4_aeye.htm" TargetMode="External"/><Relationship Id="rId9" Type="http://schemas.openxmlformats.org/officeDocument/2006/relationships/hyperlink" Target="http://www.sec.gov/Archives/edgar/data/1818644/000121390026014883/ea027628401ex10-1_aeye.htm" TargetMode="External"/><Relationship Id="rId10" Type="http://schemas.openxmlformats.org/officeDocument/2006/relationships/hyperlink" Target="http://www.sec.gov/Archives/edgar/data/1818644/000121390026014883/ea027628401ex10-2_aeye.htm" TargetMode="External"/><Relationship Id="rId11" Type="http://schemas.openxmlformats.org/officeDocument/2006/relationships/hyperlink" Target="http://www.sec.gov/Archives/edgar/data/1818644/000121390026014883/ea027628401ex10-3_aeye.htm" TargetMode="External"/><Relationship Id="rId12" Type="http://schemas.openxmlformats.org/officeDocument/2006/relationships/hyperlink" Target="http://www.sec.gov/Archives/edgar/data/1818644/000121390026014883/ea027628401ex10-4_aeye.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49707</Words>
  <Characters>276011</Characters>
  <CharactersWithSpaces>327698</CharactersWithSpaces>
  <Paragraphs>7032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