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DATED JULY 24, 2025</w:t>
      </w:r>
    </w:p>
    <w:p>
      <w:pPr>
        <w:spacing w:after="0" w:line="31" w:lineRule="exact"/>
        <w:rPr>
          <w:sz w:val="24"/>
          <w:szCs w:val="24"/>
          <w:color w:val="auto"/>
        </w:rPr>
      </w:pPr>
    </w:p>
    <w:p>
      <w:pPr>
        <w:ind w:right="5560"/>
        <w:spacing w:after="0" w:line="260" w:lineRule="auto"/>
        <w:rPr>
          <w:sz w:val="20"/>
          <w:szCs w:val="20"/>
          <w:color w:val="auto"/>
        </w:rPr>
      </w:pPr>
      <w:r>
        <w:rPr>
          <w:rFonts w:ascii="Times New Roman" w:cs="Times New Roman" w:eastAsia="Times New Roman" w:hAnsi="Times New Roman"/>
          <w:sz w:val="18"/>
          <w:szCs w:val="18"/>
          <w:i w:val="1"/>
          <w:iCs w:val="1"/>
          <w:color w:val="auto"/>
        </w:rPr>
        <w:t>To Prospectus Supplements dated December 30, 2024 and September 13, 2024 (To Prospectus dated September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238125</wp:posOffset>
            </wp:positionV>
            <wp:extent cx="288036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036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$23,728,000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131445</wp:posOffset>
            </wp:positionV>
            <wp:extent cx="1342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385"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3 to the Prospectus Supplements (the “Amendment”) amends and supplements the information in the prospectus, dated September 15, 2023 (the “Prospectus”), filed with the Securities and Exchange Commission as a part of our registration statement on Form S-3 (File No. 333-274546) (the “Registration Statement”), as previously supplemented by our prospectus supplements, dated September 13, 2024 and December 30, 2024, as amended by Amendment No. 1, dated January 7, 2025 and Amendment No. 2, dated January 23, 2025 (collectively, the “Prospectus Supplements,” and together with the Prospectus, the “Prior Prospectus”), relating to the offer and sale of shares of our common stock having an aggregate offering price of up to $2,600,000 pursuant to the terms of At Market Issuance Sales Agreement, dated September 12, 2024 (the “Sales Agreement”), with A.G.P./Alliance Global Partners (“A.G.P.”). This Amendment should be read in conjunction with the Prior Prospectus, and is qualified by reference thereto, except to the extent that the information herein amends or supersedes the information contained in the Prior Prospectus. This Amendment is not complete without, and may only be delivered or utilized in connection with, the Prior Prospectus and any future amendments or supplements thereto.</w:t>
      </w:r>
    </w:p>
    <w:p>
      <w:pPr>
        <w:spacing w:after="0" w:line="148"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filing this Amendment to amend the Prior Prospectus to update the maximum amount of shares that we are eligible to sell under our Registration Statement pursuant to the Sales Agreement under General Instruction I.B.6 of Form S-3. As a result of these limitations and the current public float of our common stock, and in accordance with the terms of the Sales Agreement, we may offer and sell shares of our common stock having an aggregate offering price of up to $23,728,000 from time to time through A.G.P. In the event that we may sell additional amounts under the Sales Agreement in accordance with General Instruction I.B.6, we will file another prospectus supplement or amendment prior to making such additional sales. This Amendment amends and/or supplements only those sections of the Prior Prospectus as listed in this Amendment, and all other sections of the Prior Prospectus remain as is.</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U.S. federal securities laws and are subject to reduced public company reporting requirements. Our common stock is listed on the Nasdaq Capital Market (“Nasdaq”) under the symbol “LIDR.” The last sale price of our common stock, as reported on Nasdaq on July 24, 2025, was $2.92 per share.</w:t>
      </w:r>
    </w:p>
    <w:p>
      <w:pPr>
        <w:spacing w:after="0" w:line="13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July 24, 2025, the aggregate market value of our outstanding shares of common stock held by non-affiliates, or public float, was determined to be $71,186,514 based on 25,417,565 shares of common stock outstanding, of which 24,378,943 are held by non-affiliates, and at a price of $2.92 per share, the closing price of our common stock on July 24, 2025. In no event will the aggregate market value of securities sold by us or on our behalf pursuant to General Instruction I.B.6 of Form S-3 during the 12 calendar month period immediately prior to, and including, the date of any such sale exceed one-third of the aggregate market value of our shares of common stock held by non-affiliates, so long as the aggregate market value of our common stock held by non-affiliates is less than $75,000,000. During the prior 12 calendar month period that ends on, and includes, July 24, 2025, we have sold $14,993,326 of our securities pursuant to General Instruction I.B.6 of 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2846070</wp:posOffset>
            </wp:positionH>
            <wp:positionV relativeFrom="page">
              <wp:posOffset>629285</wp:posOffset>
            </wp:positionV>
            <wp:extent cx="1856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6740" cy="8255"/>
                    </a:xfrm>
                    <a:prstGeom prst="rect">
                      <a:avLst/>
                    </a:prstGeom>
                    <a:noFill/>
                  </pic:spPr>
                </pic:pic>
              </a:graphicData>
            </a:graphic>
          </wp:anchor>
        </w:drawing>
        <w:t>Investing in our common stock involves a high degree of risk. See the “Risk Factors” section beginning on page S-6 of the Prospectus Supplement dated September 13, 2024 and the documents incorporated by reference into this Amendment and the Prior Prospectus, as they may be amended, updated or supplemented periodically in our reports filed with the Securities and Exchange Commission, before investing in our common stock</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Amendment or the Prior Prospectus are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207010</wp:posOffset>
            </wp:positionV>
            <wp:extent cx="1856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A.G.P.</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Amendment No. 3 to the Prospectus Supplements is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2360295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2025-07-25T05:10:26Z</dcterms:created>
  <dcterms:modified xsi:type="dcterms:W3CDTF">2025-07-25T05:10:26Z</dcterms:modified>
</cp:coreProperties>
</file>