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-220345</wp:posOffset>
            </wp:positionV>
            <wp:extent cx="118110" cy="118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-556260</wp:posOffset>
            </wp:positionV>
            <wp:extent cx="118110" cy="118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6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5182870</wp:posOffset>
            </wp:positionH>
            <wp:positionV relativeFrom="paragraph">
              <wp:posOffset>-601980</wp:posOffset>
            </wp:positionV>
            <wp:extent cx="57150" cy="6153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3901440</wp:posOffset>
            </wp:positionH>
            <wp:positionV relativeFrom="paragraph">
              <wp:posOffset>-601980</wp:posOffset>
            </wp:positionV>
            <wp:extent cx="57150" cy="615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638810</wp:posOffset>
            </wp:positionV>
            <wp:extent cx="6998970" cy="3940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394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00"/>
            <w:col w:w="8380"/>
          </w:cols>
          <w:pgMar w:left="460" w:top="21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Fisch Matthew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</w:tcPr>
          <w:p>
            <w:pPr>
              <w:ind w:left="6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AEye,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LIDR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CEO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4670 WILLOW ROAD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06/01/2026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PLEASANTON  CA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94588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8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1,000,000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12/31/2030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1,000,000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1,834,724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-1529715</wp:posOffset>
            </wp:positionV>
            <wp:extent cx="28575" cy="15347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534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 stock unit ("PSU") is the economic equivalent of a share of common stock and represents the right to receive one share of common stock at vesting.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160" w:hanging="4"/>
        <w:spacing w:after="0" w:line="261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PSUs will incrementally vest when the Company's closing price, as reported on NASDAQ, based on a five-day trailing average: (i) meets or exceeds $3.00 per share, as to one-third of the PSUs; (ii) meets or exceeds $4.00 per share, as to one-third of the PSUs; and (iii) meets or exceeds $5.00 per share, as to one-third of the PSUs. To the extent any PSUs have not vested by December 31, 2030, such PSUs shall be forfeited in their entirety.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Siraj Husain by power of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 previously filed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900" w:hanging="4"/>
        <w:spacing w:after="0" w:line="323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7992" TargetMode="External"/><Relationship Id="rId14" Type="http://schemas.openxmlformats.org/officeDocument/2006/relationships/hyperlink" Target="http://www.sec.gov/cgi-bin/browse-edgar?action=getcompany&amp;CIK=0001818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2026-06-02T19:14:04Z</dcterms:created>
  <dcterms:modified xsi:type="dcterms:W3CDTF">2026-06-02T19:14:04Z</dcterms:modified>
</cp:coreProperties>
</file>