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AEye, Inc.</w:t>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1603375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22"/>
          <w:szCs w:val="22"/>
          <w:color w:val="auto"/>
        </w:rPr>
        <w:t>On May 9, 2025, AEye, Inc. (the “Company”) shared the following material with the Company’s stockholders, which contain information pertaining to the Company’s upcoming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5904230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922" w:right="71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22"/>
          <w:szCs w:val="22"/>
          <w:b w:val="1"/>
          <w:bCs w:val="1"/>
          <w:color w:val="auto"/>
        </w:rPr>
        <w:t xml:space="preserve">AEye Sends Leter Urging Stockholders to Vote the </w:t>
      </w:r>
      <w:r>
        <w:rPr>
          <w:rFonts w:ascii="Calibri" w:cs="Calibri" w:eastAsia="Calibri" w:hAnsi="Calibri"/>
          <w:sz w:val="22"/>
          <w:szCs w:val="22"/>
          <w:b w:val="1"/>
          <w:bCs w:val="1"/>
          <w:u w:val="single" w:color="auto"/>
          <w:color w:val="auto"/>
        </w:rPr>
        <w:t>WHITE</w:t>
      </w:r>
      <w:r>
        <w:rPr>
          <w:rFonts w:ascii="Calibri" w:cs="Calibri" w:eastAsia="Calibri" w:hAnsi="Calibri"/>
          <w:sz w:val="22"/>
          <w:szCs w:val="22"/>
          <w:b w:val="1"/>
          <w:bCs w:val="1"/>
          <w:color w:val="auto"/>
        </w:rPr>
        <w:t xml:space="preserve"> Proxy Card</w:t>
      </w:r>
    </w:p>
    <w:p>
      <w:pPr>
        <w:spacing w:after="0" w:line="332" w:lineRule="exact"/>
        <w:rPr>
          <w:sz w:val="20"/>
          <w:szCs w:val="20"/>
          <w:color w:val="auto"/>
        </w:rPr>
      </w:pPr>
    </w:p>
    <w:p>
      <w:pPr>
        <w:spacing w:after="0"/>
        <w:rPr>
          <w:sz w:val="20"/>
          <w:szCs w:val="20"/>
          <w:color w:val="auto"/>
        </w:rPr>
      </w:pPr>
      <w:r>
        <w:rPr>
          <w:rFonts w:ascii="Calibri" w:cs="Calibri" w:eastAsia="Calibri" w:hAnsi="Calibri"/>
          <w:sz w:val="20"/>
          <w:szCs w:val="20"/>
          <w:color w:val="auto"/>
        </w:rPr>
        <w:t>Dear Fellow Stockholders,</w:t>
      </w:r>
    </w:p>
    <w:p>
      <w:pPr>
        <w:spacing w:after="0" w:line="184" w:lineRule="exact"/>
        <w:rPr>
          <w:sz w:val="20"/>
          <w:szCs w:val="20"/>
          <w:color w:val="auto"/>
        </w:rPr>
      </w:pPr>
    </w:p>
    <w:p>
      <w:pPr>
        <w:ind w:right="380"/>
        <w:spacing w:after="0" w:line="236" w:lineRule="auto"/>
        <w:rPr>
          <w:sz w:val="20"/>
          <w:szCs w:val="20"/>
          <w:color w:val="auto"/>
        </w:rPr>
      </w:pPr>
      <w:r>
        <w:rPr>
          <w:rFonts w:ascii="Calibri" w:cs="Calibri" w:eastAsia="Calibri" w:hAnsi="Calibri"/>
          <w:sz w:val="20"/>
          <w:szCs w:val="20"/>
          <w:color w:val="auto"/>
        </w:rPr>
        <w:t xml:space="preserve">Protect your investment by votng TODAY on the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proxy card </w:t>
      </w:r>
      <w:r>
        <w:rPr>
          <w:rFonts w:ascii="Calibri" w:cs="Calibri" w:eastAsia="Calibri" w:hAnsi="Calibri"/>
          <w:sz w:val="20"/>
          <w:szCs w:val="20"/>
          <w:b w:val="1"/>
          <w:bCs w:val="1"/>
          <w:color w:val="auto"/>
        </w:rPr>
        <w:t>“FOR”</w:t>
      </w:r>
      <w:r>
        <w:rPr>
          <w:rFonts w:ascii="Calibri" w:cs="Calibri" w:eastAsia="Calibri" w:hAnsi="Calibri"/>
          <w:sz w:val="20"/>
          <w:szCs w:val="20"/>
          <w:color w:val="auto"/>
        </w:rPr>
        <w:t xml:space="preserve"> AEye’s highly qualifed nominees, Timothy Dunn and Sue Zeifman, </w:t>
      </w:r>
      <w:r>
        <w:rPr>
          <w:rFonts w:ascii="Calibri" w:cs="Calibri" w:eastAsia="Calibri" w:hAnsi="Calibri"/>
          <w:sz w:val="20"/>
          <w:szCs w:val="20"/>
          <w:b w:val="1"/>
          <w:bCs w:val="1"/>
          <w:color w:val="auto"/>
        </w:rPr>
        <w:t>“FOR”</w:t>
      </w:r>
      <w:r>
        <w:rPr>
          <w:rFonts w:ascii="Calibri" w:cs="Calibri" w:eastAsia="Calibri" w:hAnsi="Calibri"/>
          <w:sz w:val="20"/>
          <w:szCs w:val="20"/>
          <w:color w:val="auto"/>
        </w:rPr>
        <w:t xml:space="preserve"> Proposals 2 and 3, and </w:t>
      </w:r>
      <w:r>
        <w:rPr>
          <w:rFonts w:ascii="Calibri" w:cs="Calibri" w:eastAsia="Calibri" w:hAnsi="Calibri"/>
          <w:sz w:val="20"/>
          <w:szCs w:val="20"/>
          <w:b w:val="1"/>
          <w:bCs w:val="1"/>
          <w:color w:val="auto"/>
        </w:rPr>
        <w:t>“WITHHOLD”</w:t>
      </w:r>
      <w:r>
        <w:rPr>
          <w:rFonts w:ascii="Calibri" w:cs="Calibri" w:eastAsia="Calibri" w:hAnsi="Calibri"/>
          <w:sz w:val="20"/>
          <w:szCs w:val="20"/>
          <w:color w:val="auto"/>
        </w:rPr>
        <w:t xml:space="preserve"> on all the stockholder proposals (including Proposals 4 and 5) submited by the Dissident Group at our Annual Meetng on May 15, 2025.</w:t>
      </w:r>
    </w:p>
    <w:p>
      <w:pPr>
        <w:spacing w:after="0" w:line="184"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 xml:space="preserve">Leading independent proxy advisors ISS and Glass Lewis provided strong endorsements of our current Board and management with recommendatons to vote on the Company’s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proxy card and “</w:t>
      </w:r>
      <w:r>
        <w:rPr>
          <w:rFonts w:ascii="Calibri" w:cs="Calibri" w:eastAsia="Calibri" w:hAnsi="Calibri"/>
          <w:sz w:val="20"/>
          <w:szCs w:val="20"/>
          <w:b w:val="1"/>
          <w:bCs w:val="1"/>
          <w:color w:val="auto"/>
        </w:rPr>
        <w:t>WITHHOLD”</w:t>
      </w:r>
      <w:r>
        <w:rPr>
          <w:rFonts w:ascii="Calibri" w:cs="Calibri" w:eastAsia="Calibri" w:hAnsi="Calibri"/>
          <w:sz w:val="20"/>
          <w:szCs w:val="20"/>
          <w:color w:val="auto"/>
        </w:rPr>
        <w:t xml:space="preserve"> on the Dissident Group’s nominees.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Below are </w:t>
      </w:r>
      <w:r>
        <w:rPr>
          <w:rFonts w:ascii="Calibri" w:cs="Calibri" w:eastAsia="Calibri" w:hAnsi="Calibri"/>
          <w:sz w:val="20"/>
          <w:szCs w:val="20"/>
          <w:b w:val="1"/>
          <w:bCs w:val="1"/>
          <w:u w:val="single" w:color="auto"/>
          <w:color w:val="auto"/>
        </w:rPr>
        <w:t>the facts</w:t>
      </w:r>
      <w:r>
        <w:rPr>
          <w:rFonts w:ascii="Calibri" w:cs="Calibri" w:eastAsia="Calibri" w:hAnsi="Calibri"/>
          <w:sz w:val="20"/>
          <w:szCs w:val="20"/>
          <w:color w:val="auto"/>
        </w:rPr>
        <w:t xml:space="preserve"> in response to the Dissident Group’s recent misleading statements: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180" w:type="dxa"/>
            <w:vAlign w:val="bottom"/>
            <w:tcBorders>
              <w:top w:val="single" w:sz="8" w:color="auto"/>
              <w:left w:val="single" w:sz="8" w:color="auto"/>
              <w:bottom w:val="single" w:sz="8" w:color="auto"/>
              <w:right w:val="single" w:sz="8" w:color="auto"/>
            </w:tcBorders>
            <w:shd w:val="clear" w:color="auto" w:fill="215E99"/>
          </w:tcPr>
          <w:p>
            <w:pPr>
              <w:ind w:left="80"/>
              <w:spacing w:after="0"/>
              <w:rPr>
                <w:sz w:val="20"/>
                <w:szCs w:val="20"/>
                <w:color w:val="auto"/>
              </w:rPr>
            </w:pPr>
            <w:r>
              <w:rPr>
                <w:rFonts w:ascii="Calibri" w:cs="Calibri" w:eastAsia="Calibri" w:hAnsi="Calibri"/>
                <w:sz w:val="20"/>
                <w:szCs w:val="20"/>
                <w:b w:val="1"/>
                <w:bCs w:val="1"/>
                <w:color w:val="FFFFFF"/>
              </w:rPr>
              <w:t>Misleading Dissident Claims</w:t>
            </w:r>
          </w:p>
        </w:tc>
        <w:tc>
          <w:tcPr>
            <w:tcW w:w="8060" w:type="dxa"/>
            <w:vAlign w:val="bottom"/>
            <w:tcBorders>
              <w:top w:val="single" w:sz="8" w:color="auto"/>
              <w:bottom w:val="single" w:sz="8" w:color="auto"/>
              <w:right w:val="single" w:sz="8" w:color="auto"/>
            </w:tcBorders>
            <w:shd w:val="clear" w:color="auto" w:fill="215E99"/>
          </w:tcPr>
          <w:p>
            <w:pPr>
              <w:ind w:left="40"/>
              <w:spacing w:after="0"/>
              <w:rPr>
                <w:sz w:val="20"/>
                <w:szCs w:val="20"/>
                <w:color w:val="auto"/>
              </w:rPr>
            </w:pPr>
            <w:r>
              <w:rPr>
                <w:rFonts w:ascii="Calibri" w:cs="Calibri" w:eastAsia="Calibri" w:hAnsi="Calibri"/>
                <w:sz w:val="20"/>
                <w:szCs w:val="20"/>
                <w:b w:val="1"/>
                <w:bCs w:val="1"/>
                <w:color w:val="FFFFFF"/>
              </w:rPr>
              <w:t>The Facts – Our Response</w:t>
            </w:r>
          </w:p>
        </w:tc>
      </w:tr>
      <w:tr>
        <w:trPr>
          <w:trHeight w:val="216"/>
        </w:trPr>
        <w:tc>
          <w:tcPr>
            <w:tcW w:w="3180" w:type="dxa"/>
            <w:vAlign w:val="bottom"/>
            <w:tcBorders>
              <w:left w:val="single" w:sz="8" w:color="auto"/>
              <w:right w:val="single" w:sz="8" w:color="auto"/>
            </w:tcBorders>
          </w:tcPr>
          <w:p>
            <w:pPr>
              <w:ind w:left="80"/>
              <w:spacing w:after="0" w:line="216"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Current Board and management</w:t>
            </w:r>
          </w:p>
        </w:tc>
        <w:tc>
          <w:tcPr>
            <w:tcW w:w="8060" w:type="dxa"/>
            <w:vAlign w:val="bottom"/>
            <w:tcBorders>
              <w:right w:val="single" w:sz="8" w:color="auto"/>
            </w:tcBorders>
            <w:shd w:val="clear" w:color="auto" w:fill="EAF2FA"/>
          </w:tcPr>
          <w:p>
            <w:pPr>
              <w:ind w:left="40"/>
              <w:spacing w:after="0" w:line="216" w:lineRule="exact"/>
              <w:rPr>
                <w:sz w:val="20"/>
                <w:szCs w:val="20"/>
                <w:color w:val="auto"/>
              </w:rPr>
            </w:pPr>
            <w:r>
              <w:rPr>
                <w:rFonts w:ascii="Calibri" w:cs="Calibri" w:eastAsia="Calibri" w:hAnsi="Calibri"/>
                <w:sz w:val="20"/>
                <w:szCs w:val="20"/>
                <w:color w:val="auto"/>
              </w:rPr>
              <w:t>Since 2023, AEye’s new CEO, leadership team, and reconsttuted Board have achieved signifcant</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have failed to deliver on</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milestones and are executng against a revitalized strategy. They have:</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performance.</w:t>
            </w:r>
          </w:p>
        </w:tc>
        <w:tc>
          <w:tcPr>
            <w:tcW w:w="8060" w:type="dxa"/>
            <w:vAlign w:val="bottom"/>
            <w:tcBorders>
              <w:right w:val="single" w:sz="8" w:color="auto"/>
            </w:tcBorders>
            <w:shd w:val="clear" w:color="auto" w:fill="EAF2FA"/>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color w:val="auto"/>
              </w:rPr>
              <w:t>Accelerated development of and successfully launched Apollo into the market in one year’s</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shd w:val="clear" w:color="auto" w:fill="EAF2FA"/>
          </w:tcPr>
          <w:p>
            <w:pPr>
              <w:ind w:left="560"/>
              <w:spacing w:after="0" w:line="234" w:lineRule="exact"/>
              <w:rPr>
                <w:sz w:val="20"/>
                <w:szCs w:val="20"/>
                <w:color w:val="auto"/>
              </w:rPr>
            </w:pPr>
            <w:r>
              <w:rPr>
                <w:rFonts w:ascii="Calibri" w:cs="Calibri" w:eastAsia="Calibri" w:hAnsi="Calibri"/>
                <w:sz w:val="20"/>
                <w:szCs w:val="20"/>
                <w:color w:val="auto"/>
              </w:rPr>
              <w:t>tme</w:t>
            </w:r>
          </w:p>
        </w:tc>
      </w:tr>
      <w:tr>
        <w:trPr>
          <w:trHeight w:val="249"/>
        </w:trPr>
        <w:tc>
          <w:tcPr>
            <w:tcW w:w="3180" w:type="dxa"/>
            <w:vAlign w:val="bottom"/>
            <w:tcBorders>
              <w:left w:val="single" w:sz="8" w:color="auto"/>
              <w:right w:val="single" w:sz="8" w:color="auto"/>
            </w:tcBorders>
          </w:tcPr>
          <w:p>
            <w:pPr>
              <w:spacing w:after="0"/>
              <w:rPr>
                <w:sz w:val="21"/>
                <w:szCs w:val="21"/>
                <w:color w:val="auto"/>
              </w:rPr>
            </w:pPr>
          </w:p>
        </w:tc>
        <w:tc>
          <w:tcPr>
            <w:tcW w:w="8060" w:type="dxa"/>
            <w:vAlign w:val="bottom"/>
            <w:tcBorders>
              <w:right w:val="single" w:sz="8" w:color="auto"/>
            </w:tcBorders>
            <w:shd w:val="clear" w:color="auto" w:fill="EAF2FA"/>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color w:val="auto"/>
              </w:rPr>
              <w:t>Entered into a partnership with LITEON to support Apollo producton at scale and on-budget</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8060" w:type="dxa"/>
            <w:vAlign w:val="bottom"/>
            <w:tcBorders>
              <w:right w:val="single" w:sz="8" w:color="auto"/>
            </w:tcBorders>
            <w:shd w:val="clear" w:color="auto" w:fill="EAF2FA"/>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color w:val="auto"/>
              </w:rPr>
              <w:t>Built the largest and most robust customer pipeline in AEye’s history</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8060" w:type="dxa"/>
            <w:vAlign w:val="bottom"/>
            <w:tcBorders>
              <w:right w:val="single" w:sz="8" w:color="auto"/>
            </w:tcBorders>
            <w:shd w:val="clear" w:color="auto" w:fill="EAF2FA"/>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color w:val="auto"/>
              </w:rPr>
              <w:t>Reduced quarterly spend by 75%</w:t>
            </w:r>
          </w:p>
        </w:tc>
      </w:tr>
      <w:tr>
        <w:trPr>
          <w:trHeight w:val="270"/>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bottom w:val="single" w:sz="8" w:color="EAF2FA"/>
              <w:right w:val="single" w:sz="8" w:color="auto"/>
            </w:tcBorders>
            <w:shd w:val="clear" w:color="auto" w:fill="EAF2FA"/>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color w:val="auto"/>
              </w:rPr>
              <w:t>Secured $24M in new capital over the last 14 months to fuel growth</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Signifcant value destructon was</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Prior to his involuntary terminaton as CTO in Oct. 2023, Luis Dussan, a member of the Dissident</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at the hands of current</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Group, oversaw the loss of nearly 98% of stockholder value. In additon, Mr. Dussan then sold</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management.</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892K shares over 12 trading days in Nov. 2023, during which tme AEye experienced a 16% stock</w:t>
            </w:r>
          </w:p>
        </w:tc>
      </w:tr>
      <w:tr>
        <w:trPr>
          <w:trHeight w:val="267"/>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price drop.</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AEye’s capital allocaton decisions</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Our leadership takes share diluton seriously and has made decisions to protect your investment</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are intended to silence our</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and, at the same tme, execute on a viable long-term strategy. The dissident’s proposals to cap</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stockholders.</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the number of authorized shares, if adopted, would limit critcal fnancing fexibility for the</w:t>
            </w:r>
          </w:p>
        </w:tc>
      </w:tr>
      <w:tr>
        <w:trPr>
          <w:trHeight w:val="267"/>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Company, thereby limitng our ability to raise future capital, and jeopardizing your investment.</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AEye has granted excessive pay.</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Our compensaton is fair, compettve, and aligned with Company performance. In 2024,</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executve team members elected to receive 75% of their incentve compensaton in stock, not</w:t>
            </w:r>
          </w:p>
        </w:tc>
      </w:tr>
      <w:tr>
        <w:trPr>
          <w:trHeight w:val="276"/>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bottom w:val="single" w:sz="8" w:color="EAF2FA"/>
              <w:right w:val="single" w:sz="8" w:color="auto"/>
            </w:tcBorders>
            <w:shd w:val="clear" w:color="auto" w:fill="EAF2FA"/>
          </w:tcPr>
          <w:p>
            <w:pPr>
              <w:ind w:left="40"/>
              <w:spacing w:after="0" w:line="243" w:lineRule="exact"/>
              <w:rPr>
                <w:sz w:val="20"/>
                <w:szCs w:val="20"/>
                <w:color w:val="auto"/>
              </w:rPr>
            </w:pPr>
            <w:r>
              <w:rPr>
                <w:rFonts w:ascii="Calibri" w:cs="Calibri" w:eastAsia="Calibri" w:hAnsi="Calibri"/>
                <w:sz w:val="20"/>
                <w:szCs w:val="20"/>
                <w:color w:val="auto"/>
              </w:rPr>
              <w:t>cash, demonstratng their commitment to AEye and aligning their interests with stockholders.</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The Dissidents’ nominees are</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Based on the informaton provided, the Dissidents’ nominees have NO background in</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qualifed.</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commercializing and scaling high-tech products and NO public company board experience.</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Conversely, AEye’s highly qualifed nominees bring experience and critcal expertse relevant to</w:t>
            </w:r>
          </w:p>
        </w:tc>
      </w:tr>
      <w:tr>
        <w:trPr>
          <w:trHeight w:val="276"/>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bottom w:val="single" w:sz="8" w:color="EAF2FA"/>
              <w:right w:val="single" w:sz="8" w:color="auto"/>
            </w:tcBorders>
            <w:shd w:val="clear" w:color="auto" w:fill="EAF2FA"/>
          </w:tcPr>
          <w:p>
            <w:pPr>
              <w:ind w:left="40"/>
              <w:spacing w:after="0" w:line="243" w:lineRule="exact"/>
              <w:rPr>
                <w:sz w:val="20"/>
                <w:szCs w:val="20"/>
                <w:color w:val="auto"/>
              </w:rPr>
            </w:pPr>
            <w:r>
              <w:rPr>
                <w:rFonts w:ascii="Calibri" w:cs="Calibri" w:eastAsia="Calibri" w:hAnsi="Calibri"/>
                <w:sz w:val="20"/>
                <w:szCs w:val="20"/>
                <w:color w:val="auto"/>
              </w:rPr>
              <w:t>our strategy.</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Recent Board refreshment is not</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Mr. Simon’s recent Board appointment is part of our ongoing commitment to ensure we have a</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in the interests of our stockholders.</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Board with diverse experiences and perspectves to beneft shareholders and provide efectve</w:t>
            </w:r>
          </w:p>
        </w:tc>
      </w:tr>
      <w:tr>
        <w:trPr>
          <w:trHeight w:val="267"/>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oversight. Mr. Simon brings expertse in automotve data and various high-tech industries.</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The Dissident Group represents</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The Dissidents have presented no credible plan for the Company’s future. Their reckless</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change.</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spending and strategic missteps during their tenure were dilutve to shareholder value, which</w:t>
            </w:r>
          </w:p>
        </w:tc>
      </w:tr>
      <w:tr>
        <w:trPr>
          <w:trHeight w:val="267"/>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current management is working to fx.</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The Dissident Group is aligned</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Mr. Dussan sold ~50% of his holdings over the past two years while our CEO Mat Fisch increased</w:t>
            </w:r>
          </w:p>
        </w:tc>
      </w:tr>
      <w:tr>
        <w:trPr>
          <w:trHeight w:val="294"/>
        </w:trPr>
        <w:tc>
          <w:tcPr>
            <w:tcW w:w="31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with your interests.</w:t>
            </w: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his reported ownership by ~700%.</w:t>
            </w:r>
          </w:p>
        </w:tc>
      </w:tr>
      <w:tr>
        <w:trPr>
          <w:trHeight w:val="212"/>
        </w:trPr>
        <w:tc>
          <w:tcPr>
            <w:tcW w:w="3180" w:type="dxa"/>
            <w:vAlign w:val="bottom"/>
            <w:tcBorders>
              <w:top w:val="single" w:sz="8" w:color="auto"/>
              <w:left w:val="single" w:sz="8" w:color="auto"/>
              <w:right w:val="single" w:sz="8" w:color="auto"/>
            </w:tcBorders>
          </w:tcPr>
          <w:p>
            <w:pPr>
              <w:ind w:left="80"/>
              <w:spacing w:after="0" w:line="212" w:lineRule="exact"/>
              <w:rPr>
                <w:sz w:val="20"/>
                <w:szCs w:val="20"/>
                <w:color w:val="auto"/>
              </w:rPr>
            </w:pPr>
            <w:r>
              <w:rPr>
                <w:rFonts w:ascii="Calibri" w:cs="Calibri" w:eastAsia="Calibri" w:hAnsi="Calibri"/>
                <w:sz w:val="22"/>
                <w:szCs w:val="22"/>
                <w:b w:val="1"/>
                <w:bCs w:val="1"/>
                <w:color w:val="FF0000"/>
              </w:rPr>
              <w:t xml:space="preserve">X </w:t>
            </w:r>
            <w:r>
              <w:rPr>
                <w:rFonts w:ascii="Calibri" w:cs="Calibri" w:eastAsia="Calibri" w:hAnsi="Calibri"/>
                <w:sz w:val="19"/>
                <w:szCs w:val="19"/>
                <w:color w:val="000000"/>
              </w:rPr>
              <w:t>We are opposed to constructve</w:t>
            </w:r>
          </w:p>
        </w:tc>
        <w:tc>
          <w:tcPr>
            <w:tcW w:w="8060" w:type="dxa"/>
            <w:vAlign w:val="bottom"/>
            <w:tcBorders>
              <w:top w:val="single" w:sz="8" w:color="auto"/>
              <w:right w:val="single" w:sz="8" w:color="auto"/>
            </w:tcBorders>
            <w:shd w:val="clear" w:color="auto" w:fill="EAF2FA"/>
          </w:tcPr>
          <w:p>
            <w:pPr>
              <w:ind w:left="40"/>
              <w:spacing w:after="0" w:line="212" w:lineRule="exact"/>
              <w:rPr>
                <w:sz w:val="20"/>
                <w:szCs w:val="20"/>
                <w:color w:val="auto"/>
              </w:rPr>
            </w:pPr>
            <w:r>
              <w:rPr>
                <w:rFonts w:ascii="Calibri" w:cs="Calibri" w:eastAsia="Calibri" w:hAnsi="Calibri"/>
                <w:sz w:val="20"/>
                <w:szCs w:val="20"/>
                <w:color w:val="auto"/>
              </w:rPr>
              <w:t>We have constructvely engaged with the Dissident Group on the phone, in person, and over</w:t>
            </w:r>
          </w:p>
        </w:tc>
      </w:tr>
      <w:tr>
        <w:trPr>
          <w:trHeight w:val="243"/>
        </w:trPr>
        <w:tc>
          <w:tcPr>
            <w:tcW w:w="3180" w:type="dxa"/>
            <w:vAlign w:val="bottom"/>
            <w:tcBorders>
              <w:left w:val="single" w:sz="8" w:color="auto"/>
              <w:right w:val="single" w:sz="8" w:color="auto"/>
            </w:tcBorders>
          </w:tcPr>
          <w:p>
            <w:pPr>
              <w:ind w:left="80"/>
              <w:spacing w:after="0" w:line="243" w:lineRule="exact"/>
              <w:rPr>
                <w:sz w:val="20"/>
                <w:szCs w:val="20"/>
                <w:color w:val="auto"/>
              </w:rPr>
            </w:pPr>
            <w:r>
              <w:rPr>
                <w:rFonts w:ascii="Calibri" w:cs="Calibri" w:eastAsia="Calibri" w:hAnsi="Calibri"/>
                <w:sz w:val="20"/>
                <w:szCs w:val="20"/>
                <w:color w:val="auto"/>
              </w:rPr>
              <w:t>engagement and diverse</w:t>
            </w:r>
          </w:p>
        </w:tc>
        <w:tc>
          <w:tcPr>
            <w:tcW w:w="8060" w:type="dxa"/>
            <w:vAlign w:val="bottom"/>
            <w:tcBorders>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email on numerous occasions. The Dissident Group has failed to provide any constructve or</w:t>
            </w:r>
          </w:p>
        </w:tc>
      </w:tr>
      <w:tr>
        <w:trPr>
          <w:trHeight w:val="294"/>
        </w:trPr>
        <w:tc>
          <w:tcPr>
            <w:tcW w:w="31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perspectves.</w:t>
            </w:r>
          </w:p>
        </w:tc>
        <w:tc>
          <w:tcPr>
            <w:tcW w:w="8060" w:type="dxa"/>
            <w:vAlign w:val="bottom"/>
            <w:tcBorders>
              <w:bottom w:val="single" w:sz="8" w:color="EAF2FA"/>
              <w:right w:val="single" w:sz="8" w:color="auto"/>
            </w:tcBorders>
            <w:shd w:val="clear" w:color="auto" w:fill="EAF2FA"/>
          </w:tcPr>
          <w:p>
            <w:pPr>
              <w:ind w:left="40"/>
              <w:spacing w:after="0" w:line="234" w:lineRule="exact"/>
              <w:rPr>
                <w:sz w:val="20"/>
                <w:szCs w:val="20"/>
                <w:color w:val="auto"/>
              </w:rPr>
            </w:pPr>
            <w:r>
              <w:rPr>
                <w:rFonts w:ascii="Calibri" w:cs="Calibri" w:eastAsia="Calibri" w:hAnsi="Calibri"/>
                <w:sz w:val="20"/>
                <w:szCs w:val="20"/>
                <w:color w:val="auto"/>
              </w:rPr>
              <w:t>actonable plan for AEye’s future. We welcome the views of all our stockholders.</w:t>
            </w:r>
          </w:p>
        </w:tc>
      </w:tr>
      <w:tr>
        <w:trPr>
          <w:trHeight w:val="662"/>
        </w:trPr>
        <w:tc>
          <w:tcPr>
            <w:tcW w:w="3180" w:type="dxa"/>
            <w:vAlign w:val="bottom"/>
            <w:tcBorders>
              <w:top w:val="single" w:sz="8" w:color="auto"/>
              <w:bottom w:val="single" w:sz="8" w:color="auto"/>
            </w:tcBorders>
          </w:tcPr>
          <w:p>
            <w:pPr>
              <w:spacing w:after="0"/>
              <w:rPr>
                <w:sz w:val="24"/>
                <w:szCs w:val="24"/>
                <w:color w:val="auto"/>
              </w:rPr>
            </w:pPr>
          </w:p>
        </w:tc>
        <w:tc>
          <w:tcPr>
            <w:tcW w:w="80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3" w:name="page4"/>
    <w:bookmarkEnd w:id="3"/>
    <w:p>
      <w:pPr>
        <w:spacing w:after="0"/>
        <w:rPr>
          <w:sz w:val="20"/>
          <w:szCs w:val="20"/>
          <w:color w:val="auto"/>
        </w:rPr>
      </w:pPr>
      <w:r>
        <w:rPr>
          <w:rFonts w:ascii="Calibri" w:cs="Calibri" w:eastAsia="Calibri" w:hAnsi="Calibri"/>
          <w:sz w:val="20"/>
          <w:szCs w:val="20"/>
          <w:b w:val="1"/>
          <w:bCs w:val="1"/>
          <w:u w:val="single" w:color="auto"/>
          <w:color w:val="auto"/>
        </w:rPr>
        <w:t>The Stakes Couldn’t Be Higher. Vote the WHITE CARD TODAY to Protect Your Investment.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309" w:lineRule="exact"/>
        <w:rPr>
          <w:sz w:val="20"/>
          <w:szCs w:val="20"/>
          <w:color w:val="auto"/>
        </w:rPr>
      </w:pPr>
    </w:p>
    <w:p>
      <w:pPr>
        <w:spacing w:after="0"/>
        <w:rPr>
          <w:sz w:val="20"/>
          <w:szCs w:val="20"/>
          <w:color w:val="auto"/>
        </w:rPr>
      </w:pPr>
      <w:r>
        <w:rPr>
          <w:rFonts w:ascii="Calibri" w:cs="Calibri" w:eastAsia="Calibri" w:hAnsi="Calibri"/>
          <w:sz w:val="20"/>
          <w:szCs w:val="20"/>
          <w:color w:val="auto"/>
        </w:rPr>
        <w:t>Mathew Fisch (CEO and Chair)</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Timothy Dunn (Lead Independent Director)</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Prof. Dr. Bernd Gotschalk (Director)</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Jonathon Husby (Director)</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Doron Simon (Director)</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Sue Zeifman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5" w:right="1440"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About AEye, Inc.</w:t>
      </w:r>
    </w:p>
    <w:p>
      <w:pPr>
        <w:spacing w:after="0" w:line="103"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AEye’s unique sofware-defned lidar soluton enables advanced driver-assistance, vehicle autonomy, smart infrastructure, and logistcs applicatons that save lives and propel the future of transportaton and mobility. AEye’s 4Sight™ Intelligent Sensing Platorm, with its adaptve sensor-based operatng system, focuses on what maters most: delivering faster, more accurate, and reliable informaton. AEye’s 4Sight™ products, built on this platorm, are ideal for dynamic applicatons which require precise measurement imaging to ensure safety and performance.</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Partcipants</w:t>
      </w:r>
    </w:p>
    <w:p>
      <w:pPr>
        <w:spacing w:after="0" w:line="103" w:lineRule="exact"/>
        <w:rPr>
          <w:sz w:val="20"/>
          <w:szCs w:val="20"/>
          <w:color w:val="auto"/>
        </w:rPr>
      </w:pPr>
    </w:p>
    <w:p>
      <w:pPr>
        <w:ind w:right="220"/>
        <w:spacing w:after="0" w:line="237" w:lineRule="auto"/>
        <w:rPr>
          <w:sz w:val="20"/>
          <w:szCs w:val="20"/>
          <w:color w:val="auto"/>
        </w:rPr>
      </w:pPr>
      <w:r>
        <w:rPr>
          <w:rFonts w:ascii="Calibri" w:cs="Calibri" w:eastAsia="Calibri" w:hAnsi="Calibri"/>
          <w:sz w:val="20"/>
          <w:szCs w:val="20"/>
          <w:color w:val="auto"/>
        </w:rPr>
        <w:t xml:space="preserve">AEye, its directors, and executve ofcers and other members of management and employees will be partcipants in the solicitaton of proxies with respect to a solicitaton by AEye. Informaton about AEye’s executve ofcers and directors is available in AEye’s defnitve proxy statement for its 2025 Annual Meetng, which was fled with the U.S. Securites and Exchange Commission (“SEC”) on April 7, 2025. To the extent holdings by our directors and executve ofcers of AEye securites reported in the proxy statement for the 2025 Annual Meetng have changed, such changes have been or will be refected on Statements of Change in Ownership on Forms 3, 4, or 5 fled with the SEC. These documents are or will be available free of charge at the SEC’s website at </w:t>
      </w:r>
      <w:r>
        <w:rPr>
          <w:rFonts w:ascii="Calibri" w:cs="Calibri" w:eastAsia="Calibri" w:hAnsi="Calibri"/>
          <w:sz w:val="20"/>
          <w:szCs w:val="20"/>
          <w:u w:val="single" w:color="auto"/>
          <w:color w:val="auto"/>
        </w:rPr>
        <w:t>www.sec.gov</w:t>
      </w:r>
      <w:r>
        <w:rPr>
          <w:rFonts w:ascii="Calibri" w:cs="Calibri" w:eastAsia="Calibri" w:hAnsi="Calibri"/>
          <w:sz w:val="20"/>
          <w:szCs w:val="20"/>
          <w:color w:val="auto"/>
        </w:rPr>
        <w:t>.</w:t>
      </w:r>
    </w:p>
    <w:p>
      <w:pPr>
        <w:spacing w:after="0" w:line="8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Certain Additonal Informaton</w:t>
      </w:r>
    </w:p>
    <w:p>
      <w:pPr>
        <w:spacing w:after="0" w:line="90"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 xml:space="preserve">Under the new rules adopted by the SEC, the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also includes the names of the Dissident Group’s nominees. The Board does NOT endorse any of the Dissident Group’s nominees, and the presence of the Dissident Group’s nominees on the enclosed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is NOT an approval of or comment on the ftness, character, suitability, or other qualifcatons of the Dissident Group’s nominees. The Board strongly urges you to NOT sign or return any NON-WHITE proxy card sent to you by, or on behalf of, the Dissident Group. If you have previously submited a NON-WHITE proxy card sent to you by, or on behalf of, the Dissident Group, you can revoke that proxy and vote for your Board’s candidates and on the other maters to be voted on at the Annual Meetng by using the enclosed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or votng by Internet by following the instructons specifed on the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Only your latest dated proxy will count. OUR BOARD URGES YOU TO VOTE ONLY ON THE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FOR OUR BOARD’S PROPOSED CANDIDATES (TIMOTHY J. DUNN AND SUE E. ZEIFMAN) AND AGAINST BOTH STOCKHOLDER ADVISORY PROPOSALS (PROPOSALS 4 AND 5), TO DISREGARD ANY MATERIALS SENT TO YOU BY, OR ON BEHALF OF, THE DISSIDENT GROUP, AND NOT TO SIGN, RETURN, OR VOTE ANY NON-WHITE PROXY CARD SENT TO YOU BY, OR ON BEHALF OF, THE DISSIDENT GROUP. Although we are required to include all nominees for electon on our universal proxy card, for additonal informaton regarding the Dissident Group’s nominees and any other related informaton, please refer to the Dissident Group’s proxy statement, which is accessible without cost at www.sec.gov. We are not responsible for the accuracy of any informaton provided by, or relatng to, the Dissident Group or the nominees contained in any proxy solicitaton materials fled or disseminated by, or on behalf of, the Dissident Group or any other statements that the Dissident Group or its representatves have made or may otherwise make, including with respect to the advisory stockholder proposals (Proposals 4 and 5) submited by the Dissident Group.</w:t>
      </w:r>
    </w:p>
    <w:p>
      <w:pPr>
        <w:spacing w:after="0" w:line="110"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 xml:space="preserve">Additonally, the Dissident Group has stated that they intend to present an additonal proposal, Proposal 6, at the Annual Meetng as a foor proposal. Proposal 6 was not properly or tmely submited under Rule 14a-8 of the Securites Exchange Act of 1934, as amended (the “Exchange Act”). It will be the Dissident Group’s responsibility to properly present Proposal 6 at the Annual Meetng and solicit votes. Since Proposal 6 was not submited under Rule 14a-8 under the Exchange Act, it was not included nor described in the Company’s proxy statement or on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If Proposal 6 is presented at the Annual Meetng as a foor proposal, the proxy holders will have discretonary votng authority under Rule 14a-4(c) under the Exchange Act with respect to Proposal 6 and intend to exercise such discreton to vote “AGAINST” Proposal 6. If you wish to cast a vote “FOR” Proposal 6, you must use the NON-WHITE universal proxy card and follow the instructons provided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Additonal Informaton</w:t>
      </w:r>
    </w:p>
    <w:p>
      <w:pPr>
        <w:spacing w:after="0" w:line="90"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 xml:space="preserve">AEye has fled with the SEC a defnitve proxy statement on Schedule 14A, containing a form of </w:t>
      </w:r>
      <w:r>
        <w:rPr>
          <w:rFonts w:ascii="Calibri" w:cs="Calibri" w:eastAsia="Calibri" w:hAnsi="Calibri"/>
          <w:sz w:val="20"/>
          <w:szCs w:val="20"/>
          <w:b w:val="1"/>
          <w:bCs w:val="1"/>
          <w:u w:val="single" w:color="auto"/>
          <w:color w:val="auto"/>
        </w:rPr>
        <w:t>WHITE</w:t>
      </w:r>
      <w:r>
        <w:rPr>
          <w:rFonts w:ascii="Calibri" w:cs="Calibri" w:eastAsia="Calibri" w:hAnsi="Calibri"/>
          <w:sz w:val="20"/>
          <w:szCs w:val="20"/>
          <w:color w:val="auto"/>
        </w:rPr>
        <w:t xml:space="preserve"> universal proxy card, with respect to its solicitaton of proxies for the Annual Meetng. This communicaton is not a substtute for any proxy statement or other document that AEye may fle with the SEC in connecton with any solicitaton by AEye.</w:t>
      </w:r>
    </w:p>
    <w:p>
      <w:pPr>
        <w:spacing w:after="0" w:line="90" w:lineRule="exact"/>
        <w:rPr>
          <w:sz w:val="20"/>
          <w:szCs w:val="20"/>
          <w:color w:val="auto"/>
        </w:rPr>
      </w:pPr>
    </w:p>
    <w:p>
      <w:pPr>
        <w:jc w:val="both"/>
        <w:ind w:right="80"/>
        <w:spacing w:after="0" w:line="236" w:lineRule="auto"/>
        <w:rPr>
          <w:sz w:val="20"/>
          <w:szCs w:val="20"/>
          <w:color w:val="auto"/>
        </w:rPr>
      </w:pPr>
      <w:r>
        <w:rPr>
          <w:rFonts w:ascii="Calibri" w:cs="Calibri" w:eastAsia="Calibri" w:hAnsi="Calibri"/>
          <w:sz w:val="20"/>
          <w:szCs w:val="20"/>
          <w:color w:val="auto"/>
        </w:rPr>
        <w:t>INVESTORS AND SECURITY HOLDERS ARE URGED TO READ CAREFULLY AND IN THEIR ENTIRETY THE PROXY STATEMENT (INCLUDING ANY AMENDMENTS OR SUPPLEMENTS THERETO) FILED BY AEYE AND ANY OTHER RELEVANT DOCUMENTS FILED WITH THE SEC WHEN THEY BECOME AVAILABLE BECAUSE THEY WILL CONTAIN IMPORTANT INFORMATION ABOUT ANY SOLICITATION.</w:t>
      </w:r>
    </w:p>
    <w:p>
      <w:pPr>
        <w:spacing w:after="0" w:line="103" w:lineRule="exact"/>
        <w:rPr>
          <w:sz w:val="20"/>
          <w:szCs w:val="20"/>
          <w:color w:val="auto"/>
        </w:rPr>
      </w:pPr>
    </w:p>
    <w:p>
      <w:pPr>
        <w:ind w:right="200"/>
        <w:spacing w:after="0" w:line="236" w:lineRule="auto"/>
        <w:rPr>
          <w:sz w:val="20"/>
          <w:szCs w:val="20"/>
          <w:color w:val="auto"/>
        </w:rPr>
      </w:pPr>
      <w:r>
        <w:rPr>
          <w:rFonts w:ascii="Calibri" w:cs="Calibri" w:eastAsia="Calibri" w:hAnsi="Calibri"/>
          <w:sz w:val="20"/>
          <w:szCs w:val="20"/>
          <w:color w:val="auto"/>
        </w:rPr>
        <w:t xml:space="preserve">Investors and security holders may obtain copies of these documents and other documents fled with the SEC by AEye free of charge through the website maintained by the SEC at </w:t>
      </w:r>
      <w:r>
        <w:rPr>
          <w:rFonts w:ascii="Calibri" w:cs="Calibri" w:eastAsia="Calibri" w:hAnsi="Calibri"/>
          <w:sz w:val="20"/>
          <w:szCs w:val="20"/>
          <w:u w:val="single" w:color="auto"/>
          <w:color w:val="auto"/>
        </w:rPr>
        <w:t>www.sec.gov</w:t>
      </w:r>
      <w:r>
        <w:rPr>
          <w:rFonts w:ascii="Calibri" w:cs="Calibri" w:eastAsia="Calibri" w:hAnsi="Calibri"/>
          <w:sz w:val="20"/>
          <w:szCs w:val="20"/>
          <w:color w:val="auto"/>
        </w:rPr>
        <w:t xml:space="preserve">. Copies of the documents fled by AEye are also available free of charge by accessing AEye’s website at </w:t>
      </w:r>
      <w:r>
        <w:rPr>
          <w:rFonts w:ascii="Calibri" w:cs="Calibri" w:eastAsia="Calibri" w:hAnsi="Calibri"/>
          <w:sz w:val="20"/>
          <w:szCs w:val="20"/>
          <w:u w:val="single" w:color="auto"/>
          <w:color w:val="auto"/>
        </w:rPr>
        <w:t>www.aeye.ai</w:t>
      </w:r>
      <w:r>
        <w:rPr>
          <w:rFonts w:ascii="Calibri" w:cs="Calibri" w:eastAsia="Calibri" w:hAnsi="Calibri"/>
          <w:sz w:val="20"/>
          <w:szCs w:val="20"/>
          <w:color w:val="auto"/>
        </w:rPr>
        <w:t>.</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103"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Certain statements in this communicaton may consttute “forward-looking statements” within the meaning of the Private Securites Litgaton Reform Act of 1995, including statements regarding the Company’s expectatons; beliefs; plans; strategies; business or fnancial prospects or outlook; future shareholder value; expected growth and value creaton; proftability; investments; cost reductons and efciencies; content oferings; priorites or performance; and other statements that are not historical in nature. These statements involve risks, uncertaintes, and other factors that may cause actual results, levels of actvity, performance, or achievements to be materially diferent from the informaton expressed or implied by these forward-looking statements. These risks, uncertaintes, and other factors are described under the captons “Risk Factors” and “Management’s Discussion and Analysis of Financial Conditon and Results of Operatons” in our Annual Report on Form 10-K for the year ended December 31, 2024 fled with the SEC and our other flings with the SEC from tme to tme. Any forward-looking statements speak only as of the date of this communicaton and are based on informaton available to the Company as of the date of this communicaton, and the Company does not assume any obligaton to, and does not intend to, publicly provide revisions or updates to any forward-looking statements, whether as a result of new informaton, future developments or otherwise, should circumstances change, except as otherwise required by securites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1539875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0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2025-05-09T16:50:39Z</dcterms:created>
  <dcterms:modified xsi:type="dcterms:W3CDTF">2025-05-09T16:50:39Z</dcterms:modified>
</cp:coreProperties>
</file>