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501001-8k_aeye.htm"/>
      <w:bookmarkStart w:id="1" w:name="ksea0305010018k_aey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90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September 2, 2026</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AEYE,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165"/>
        <w:gridCol w:w="60"/>
        <w:gridCol w:w="2210"/>
        <w:gridCol w:w="60"/>
        <w:gridCol w:w="2780"/>
      </w:tblGrid>
      <w:tr>
        <w:trPr/>
        <w:tc>
          <w:tcPr>
            <w:tcW w:w="2165" w:type="dxa"/>
            <w:tcBorders>
              <w:bottom w:val="single" w:sz="8" w:space="0" w:color="000000"/>
            </w:tcBorders>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3_edei--EntityFileNumber_c20260902"/>
            <w:bookmarkEnd w:id="6"/>
            <w:r>
              <w:rPr>
                <w:b/>
                <w:sz w:val="20"/>
              </w:rPr>
              <w:t>001-39699</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E_edei--EntityTaxIdentificationNum"/>
            <w:bookmarkEnd w:id="7"/>
            <w:r>
              <w:rPr>
                <w:b/>
                <w:sz w:val="20"/>
              </w:rPr>
              <w:t>37-1827430</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r>
        <w:trPr/>
        <w:tc>
          <w:tcPr>
            <w:tcW w:w="2165" w:type="dxa"/>
            <w:tcBorders/>
            <w:tcMar>
              <w:bottom w:w="0" w:type="dxa"/>
            </w:tcMar>
            <w:vAlign w:val="center"/>
          </w:tcPr>
          <w:p>
            <w:pPr>
              <w:pStyle w:val="TableContents"/>
              <w:bidi w:val="0"/>
              <w:spacing w:before="0" w:after="283"/>
              <w:jc w:val="center"/>
              <w:rPr>
                <w:sz w:val="20"/>
              </w:rPr>
            </w:pPr>
            <w:r>
              <w:rPr>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28" w:type="dxa"/>
          <w:right w:w="0" w:type="dxa"/>
        </w:tblCellMar>
      </w:tblPr>
      <w:tblGrid>
        <w:gridCol w:w="4475"/>
        <w:gridCol w:w="60"/>
        <w:gridCol w:w="920"/>
      </w:tblGrid>
      <w:tr>
        <w:trPr/>
        <w:tc>
          <w:tcPr>
            <w:tcW w:w="4475" w:type="dxa"/>
            <w:tcBorders>
              <w:bottom w:val="single" w:sz="8" w:space="0" w:color="000000"/>
            </w:tcBorders>
            <w:vAlign w:val="center"/>
          </w:tcPr>
          <w:p>
            <w:pPr>
              <w:pStyle w:val="TableContents"/>
              <w:bidi w:val="0"/>
              <w:spacing w:before="0" w:after="283"/>
              <w:jc w:val="center"/>
              <w:rPr>
                <w:b/>
                <w:sz w:val="20"/>
              </w:rPr>
            </w:pPr>
            <w:bookmarkStart w:id="8" w:name="xdx_906_edei--EntityAddressAddressLine1_"/>
            <w:bookmarkEnd w:id="8"/>
            <w:r>
              <w:rPr>
                <w:b/>
                <w:sz w:val="20"/>
              </w:rPr>
              <w:t xml:space="preserve">4670 Willow Road, </w:t>
            </w:r>
            <w:bookmarkStart w:id="9" w:name="xdx_903_edei--EntityAddressAddressLine2_"/>
            <w:bookmarkEnd w:id="9"/>
            <w:r>
              <w:rPr>
                <w:b/>
                <w:sz w:val="20"/>
              </w:rPr>
              <w:t xml:space="preserve">Suite 125, </w:t>
            </w:r>
            <w:bookmarkStart w:id="10" w:name="xdx_901_edei--EntityAddressCityOrTown_c2"/>
            <w:bookmarkEnd w:id="10"/>
            <w:r>
              <w:rPr>
                <w:b/>
                <w:sz w:val="20"/>
              </w:rPr>
              <w:t xml:space="preserve">Pleasanton, </w:t>
            </w:r>
            <w:bookmarkStart w:id="11" w:name="xdx_900_edei--EntityAddressStateOrProvin"/>
            <w:bookmarkEnd w:id="11"/>
            <w:r>
              <w:rPr>
                <w:b/>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5_edei--EntityAddressPostalZipCode"/>
            <w:bookmarkEnd w:id="12"/>
            <w:r>
              <w:rPr>
                <w:b/>
                <w:sz w:val="20"/>
              </w:rPr>
              <w:t>94588</w:t>
            </w:r>
          </w:p>
        </w:tc>
      </w:tr>
      <w:tr>
        <w:trPr/>
        <w:tc>
          <w:tcPr>
            <w:tcW w:w="44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3_edei--CityAreaCode_c20260902__20"/>
      <w:bookmarkEnd w:id="13"/>
      <w:r>
        <w:rPr>
          <w:rFonts w:ascii="Times New Roman;Times;Serif" w:hAnsi="Times New Roman;Times;Serif"/>
          <w:b/>
          <w:i w:val="false"/>
          <w:caps w:val="false"/>
          <w:smallCaps w:val="false"/>
          <w:sz w:val="20"/>
        </w:rPr>
        <w:t xml:space="preserve">(925) </w:t>
      </w:r>
      <w:bookmarkStart w:id="14" w:name="xdx_906_edei--LocalPhoneNumber_c20260902"/>
      <w:bookmarkEnd w:id="14"/>
      <w:r>
        <w:rPr>
          <w:rFonts w:ascii="Times New Roman;Times;Serif" w:hAnsi="Times New Roman;Times;Serif"/>
          <w:b/>
          <w:i w:val="false"/>
          <w:caps w:val="false"/>
          <w:smallCaps w:val="false"/>
          <w:sz w:val="20"/>
        </w:rPr>
        <w:t>400-4366</w:t>
      </w:r>
    </w:p>
    <w:p>
      <w:pPr>
        <w:pStyle w:val="TextBody"/>
        <w:bidi w:val="0"/>
        <w:spacing w:before="0" w:after="0"/>
        <w:ind w:left="0" w:right="0" w:hanging="0"/>
        <w:jc w:val="center"/>
        <w:rPr>
          <w:caps w:val="false"/>
          <w:smallCaps w:val="false"/>
        </w:rPr>
      </w:pPr>
      <w:r>
        <w:rPr>
          <w:caps w:val="false"/>
          <w:smallCaps w:val="false"/>
        </w:rPr>
        <w:t> </w:t>
      </w:r>
    </w:p>
    <w:tbl>
      <w:tblPr>
        <w:tblW w:w="5300" w:type="dxa"/>
        <w:jc w:val="left"/>
        <w:tblInd w:w="0" w:type="dxa"/>
        <w:tblLayout w:type="fixed"/>
        <w:tblCellMar>
          <w:top w:w="0" w:type="dxa"/>
          <w:left w:w="0" w:type="dxa"/>
          <w:bottom w:w="28" w:type="dxa"/>
          <w:right w:w="0" w:type="dxa"/>
        </w:tblCellMar>
      </w:tblPr>
      <w:tblGrid>
        <w:gridCol w:w="5225"/>
        <w:gridCol w:w="75"/>
      </w:tblGrid>
      <w:tr>
        <w:trPr/>
        <w:tc>
          <w:tcPr>
            <w:tcW w:w="522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225" w:type="dxa"/>
            <w:tcBorders/>
            <w:tcMar>
              <w:bottom w:w="0" w:type="dxa"/>
            </w:tcMar>
            <w:vAlign w:val="center"/>
          </w:tcPr>
          <w:p>
            <w:pPr>
              <w:pStyle w:val="TableContents"/>
              <w:bidi w:val="0"/>
              <w:spacing w:before="0" w:after="283"/>
              <w:jc w:val="center"/>
              <w:rPr>
                <w:sz w:val="20"/>
              </w:rPr>
            </w:pPr>
            <w:r>
              <w:rPr>
                <w:sz w:val="20"/>
              </w:rPr>
              <w:t>(Former Name or Former Address, if Changed Since Last Report)</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
        <w:jc w:val="left"/>
        <w:rPr>
          <w:caps w:val="false"/>
          <w:smallCaps w:val="false"/>
        </w:rPr>
      </w:pPr>
      <w:bookmarkStart w:id="15" w:name="xdx_90C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firstLine="6"/>
        <w:jc w:val="left"/>
        <w:rPr>
          <w:caps w:val="false"/>
          <w:smallCaps w:val="false"/>
        </w:rPr>
      </w:pPr>
      <w:bookmarkStart w:id="16" w:name="xdx_90C_edei--SolicitingMaterial_c202609"/>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 </w:t>
      </w:r>
    </w:p>
    <w:p>
      <w:pPr>
        <w:pStyle w:val="TextBody"/>
        <w:bidi w:val="0"/>
        <w:spacing w:before="0" w:after="0"/>
        <w:ind w:left="0" w:right="0" w:firstLine="6"/>
        <w:jc w:val="left"/>
        <w:rPr>
          <w:caps w:val="false"/>
          <w:smallCaps w:val="false"/>
        </w:rPr>
      </w:pPr>
      <w:bookmarkStart w:id="17" w:name="xdx_90A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firstLine="6"/>
        <w:jc w:val="left"/>
        <w:rPr>
          <w:caps w:val="false"/>
          <w:smallCaps w:val="false"/>
        </w:rPr>
      </w:pPr>
      <w:bookmarkStart w:id="18" w:name="xdx_90F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40" w:type="dxa"/>
        <w:jc w:val="left"/>
        <w:tblInd w:w="-10" w:type="dxa"/>
        <w:tblLayout w:type="fixed"/>
        <w:tblCellMar>
          <w:top w:w="28" w:type="dxa"/>
          <w:left w:w="28" w:type="dxa"/>
          <w:bottom w:w="28" w:type="dxa"/>
          <w:right w:w="28" w:type="dxa"/>
        </w:tblCellMar>
      </w:tblPr>
      <w:tblGrid>
        <w:gridCol w:w="3620"/>
        <w:gridCol w:w="1610"/>
        <w:gridCol w:w="3710"/>
      </w:tblGrid>
      <w:tr>
        <w:trPr/>
        <w:tc>
          <w:tcPr>
            <w:tcW w:w="36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Trading Symbol(s)</w:t>
            </w:r>
          </w:p>
        </w:tc>
        <w:tc>
          <w:tcPr>
            <w:tcW w:w="37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19" w:name="xdx_90B_edei--Security12bTitle_c20260902"/>
            <w:bookmarkEnd w:id="19"/>
            <w:r>
              <w:rPr>
                <w:sz w:val="20"/>
              </w:rPr>
              <w:t>Common Stock, par value $0.0001 per share</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0" w:name="xdx_905_edei--TradingSymbol_c20260902__2"/>
            <w:bookmarkEnd w:id="20"/>
            <w:r>
              <w:rPr>
                <w:sz w:val="20"/>
              </w:rPr>
              <w:t>LIDR</w:t>
            </w:r>
          </w:p>
        </w:tc>
        <w:tc>
          <w:tcPr>
            <w:tcW w:w="3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 xml:space="preserve">The </w:t>
            </w:r>
            <w:bookmarkStart w:id="21" w:name="xdx_90A_edei--SecurityExchangeName_c2026"/>
            <w:bookmarkEnd w:id="21"/>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62"/>
        <w:gridCol w:w="9405"/>
      </w:tblGrid>
      <w:tr>
        <w:trPr/>
        <w:tc>
          <w:tcPr>
            <w:tcW w:w="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b/>
              </w:rPr>
            </w:pPr>
            <w:r>
              <w:rPr>
                <w:b/>
              </w:rPr>
              <w:t>Item 5.02</w:t>
            </w:r>
          </w:p>
        </w:tc>
        <w:tc>
          <w:tcPr>
            <w:tcW w:w="9405" w:type="dxa"/>
            <w:tcBorders/>
            <w:vAlign w:val="center"/>
          </w:tcPr>
          <w:p>
            <w:pPr>
              <w:pStyle w:val="TableContents"/>
              <w:bidi w:val="0"/>
              <w:spacing w:before="0" w:after="283"/>
              <w:jc w:val="both"/>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September 2, 2026, the Compensation Committee of the Board of Directors of AEye, Inc. (the “Company”) approved a one-time award of 100,000 restricted stock units (the “RSU Award”) to Conor Tierney, the Company’s Chief Financial Officer, in recognition of Mr. Tierney’s contributions in connection with the Company’s previously announced commercial engagement with Lunar Outpost, Inc. and in building the Company’s commercial pipeline. The RSU Award was granted under, and is subject to the terms and conditions of, the Company’s 2021 Equity Incentive Plan (the “Plan”) and the Company’s form of restricted stock unit award agreement under the Plan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 Award will vest in full on November 15, 2026, subject to Mr. Tierney’s continued service to the Company through such date. Each restricted stock unit that vests will be settled in one share of the Company’s common stock. The foregoing description of the RSU Award does not purport to be complete and is qualified in its entirety by reference to the full text of the Plan and the form of Award Agreement, each of which has been previously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550"/>
        <w:gridCol w:w="5870"/>
      </w:tblGrid>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u w:val="single"/>
              </w:rPr>
            </w:pPr>
            <w:r>
              <w:rPr>
                <w:u w:val="single"/>
              </w:rPr>
              <w:t>Exhibit Number</w:t>
            </w:r>
          </w:p>
        </w:tc>
        <w:tc>
          <w:tcPr>
            <w:tcW w:w="5870" w:type="dxa"/>
            <w:tcBorders/>
            <w:vAlign w:val="center"/>
          </w:tcPr>
          <w:p>
            <w:pPr>
              <w:pStyle w:val="TableContents"/>
              <w:bidi w:val="0"/>
              <w:spacing w:before="0" w:after="283"/>
              <w:jc w:val="left"/>
              <w:rPr>
                <w:u w:val="single"/>
              </w:rPr>
            </w:pPr>
            <w:r>
              <w:rPr>
                <w:u w:val="single"/>
              </w:rPr>
              <w:t>Description</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before="0" w:after="283"/>
              <w:jc w:val="left"/>
              <w:rPr/>
            </w:pPr>
            <w:r>
              <w:rPr/>
              <w:t>104</w:t>
            </w:r>
          </w:p>
        </w:tc>
        <w:tc>
          <w:tcPr>
            <w:tcW w:w="5870" w:type="dxa"/>
            <w:tcBorders/>
            <w:shd w:fill="CCEEFF" w:val="clear"/>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50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5460" w:type="dxa"/>
        <w:jc w:val="left"/>
        <w:tblInd w:w="0" w:type="dxa"/>
        <w:tblLayout w:type="fixed"/>
        <w:tblCellMar>
          <w:top w:w="0" w:type="dxa"/>
          <w:left w:w="0" w:type="dxa"/>
          <w:bottom w:w="0" w:type="dxa"/>
          <w:right w:w="0" w:type="dxa"/>
        </w:tblCellMar>
      </w:tblPr>
      <w:tblGrid>
        <w:gridCol w:w="2135"/>
        <w:gridCol w:w="60"/>
        <w:gridCol w:w="320"/>
        <w:gridCol w:w="294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b/>
                <w:sz w:val="20"/>
              </w:rPr>
            </w:pPr>
            <w:r>
              <w:rPr>
                <w:b/>
                <w:sz w:val="20"/>
              </w:rPr>
              <w:t>AEye, Inc.</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Dated: September 9, 2026</w:t>
            </w:r>
          </w:p>
        </w:tc>
        <w:tc>
          <w:tcPr>
            <w:tcW w:w="60"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945" w:type="dxa"/>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w:t>
            </w:r>
            <w:r>
              <w:rPr>
                <w:i/>
                <w:sz w:val="20"/>
              </w:rPr>
              <w:t>Siraj Husain</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sz w:val="20"/>
              </w:rPr>
            </w:pPr>
            <w:r>
              <w:rPr>
                <w:sz w:val="20"/>
              </w:rPr>
              <w:t>Siraj Husain</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sz w:val="20"/>
              </w:rPr>
            </w:pPr>
            <w:r>
              <w:rPr>
                <w:sz w:val="20"/>
              </w:rPr>
              <w:t>Vice President and General Counsel</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580</Words>
  <Characters>3175</Characters>
  <CharactersWithSpaces>3794</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