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ss6825285_8k.htm"/>
      <w:bookmarkStart w:id="1" w:name="ksss6825285_8k"/>
      <w:bookmarkEnd w:id="0"/>
      <w:bookmarkEnd w:id="1"/>
      <w:r>
        <w:rPr/>
        <w:t> </w:t>
      </w:r>
    </w:p>
    <w:p>
      <w:pPr>
        <w:pStyle w:val="TextBody"/>
        <w:bidi w:val="0"/>
        <w:spacing w:before="240" w:after="60"/>
        <w:jc w:val="left"/>
        <w:rPr>
          <w:bdr w:val="single" w:sz="16" w:space="1" w:color="000000"/>
        </w:rPr>
      </w:pPr>
      <w:r>
        <w:rPr>
          <w:bdr w:val="single" w:sz="16" w:space="1" w:color="000000"/>
        </w:rPr>
        <w:t> </w:t>
      </w:r>
    </w:p>
    <w:p>
      <w:pPr>
        <w:pStyle w:val="TextBody"/>
        <w:bidi w:val="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UNITED STATES</w:t>
      </w:r>
    </w:p>
    <w:p>
      <w:pPr>
        <w:pStyle w:val="TextBody"/>
        <w:bidi w:val="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SECURITIES AND EXCHANGE COMMISSION</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 xml:space="preserve">FORM </w:t>
      </w:r>
      <w:bookmarkStart w:id="2" w:name="xdx_904_edei--DocumentType_c20260915__20"/>
      <w:bookmarkEnd w:id="2"/>
      <w:r>
        <w:rPr>
          <w:rFonts w:ascii="Times New Roman;Times;Serif" w:hAnsi="Times New Roman;Times;Serif"/>
          <w:b/>
          <w:i w:val="false"/>
          <w:caps w:val="false"/>
          <w:smallCaps w:val="false"/>
          <w:sz w:val="32"/>
        </w:rPr>
        <w:t>8-K</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2_edei--DocumentPeriodEndDate_c202"/>
      <w:bookmarkEnd w:id="3"/>
      <w:r>
        <w:rPr>
          <w:rFonts w:ascii="Times New Roman;Times;Serif" w:hAnsi="Times New Roman;Times;Serif"/>
          <w:b/>
          <w:i w:val="false"/>
          <w:caps w:val="false"/>
          <w:smallCaps w:val="false"/>
          <w:sz w:val="20"/>
        </w:rPr>
        <w:t>September 15, 2026</w:t>
      </w:r>
    </w:p>
    <w:p>
      <w:pPr>
        <w:pStyle w:val="TextBody"/>
        <w:bidi w:val="0"/>
        <w:jc w:val="center"/>
        <w:rPr>
          <w:caps w:val="false"/>
          <w:smallCaps w:val="false"/>
        </w:rPr>
      </w:pPr>
      <w:r>
        <w:rPr>
          <w:caps w:val="false"/>
          <w:smallCaps w:val="false"/>
        </w:rPr>
        <w:t> </w:t>
      </w:r>
    </w:p>
    <w:p>
      <w:pPr>
        <w:pStyle w:val="TextBody"/>
        <w:pBdr>
          <w:bottom w:val="single" w:sz="8" w:space="1" w:color="000000"/>
        </w:pBdr>
        <w:bidi w:val="0"/>
        <w:jc w:val="center"/>
        <w:rPr>
          <w:rFonts w:ascii="Times New Roman;Times;Serif" w:hAnsi="Times New Roman;Times;Serif"/>
          <w:b/>
          <w:i w:val="false"/>
          <w:caps w:val="false"/>
          <w:smallCaps w:val="false"/>
          <w:sz w:val="32"/>
        </w:rPr>
      </w:pPr>
      <w:bookmarkStart w:id="4" w:name="xdx_90B_edei--EntityRegistrantName_c2026"/>
      <w:bookmarkEnd w:id="4"/>
      <w:r>
        <w:rPr>
          <w:rFonts w:ascii="Times New Roman;Times;Serif" w:hAnsi="Times New Roman;Times;Serif"/>
          <w:b/>
          <w:i w:val="false"/>
          <w:caps w:val="false"/>
          <w:smallCaps w:val="false"/>
          <w:sz w:val="32"/>
        </w:rPr>
        <w:t>AEYE, INC.</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jc w:val="center"/>
        <w:rPr>
          <w:caps w:val="false"/>
          <w:smallCaps w:val="false"/>
        </w:rPr>
      </w:pPr>
      <w:r>
        <w:rPr>
          <w:caps w:val="false"/>
          <w:smallCaps w:val="false"/>
        </w:rPr>
        <w:t> </w:t>
      </w:r>
    </w:p>
    <w:tbl>
      <w:tblPr>
        <w:tblW w:w="7275" w:type="dxa"/>
        <w:jc w:val="left"/>
        <w:tblInd w:w="0" w:type="dxa"/>
        <w:tblLayout w:type="fixed"/>
        <w:tblCellMar>
          <w:top w:w="0" w:type="dxa"/>
          <w:left w:w="0" w:type="dxa"/>
          <w:bottom w:w="28" w:type="dxa"/>
          <w:right w:w="0" w:type="dxa"/>
        </w:tblCellMar>
      </w:tblPr>
      <w:tblGrid>
        <w:gridCol w:w="2165"/>
        <w:gridCol w:w="60"/>
        <w:gridCol w:w="2210"/>
        <w:gridCol w:w="60"/>
        <w:gridCol w:w="2780"/>
      </w:tblGrid>
      <w:tr>
        <w:trPr/>
        <w:tc>
          <w:tcPr>
            <w:tcW w:w="2165" w:type="dxa"/>
            <w:tcBorders>
              <w:bottom w:val="single" w:sz="8" w:space="0" w:color="000000"/>
            </w:tcBorders>
            <w:vAlign w:val="center"/>
          </w:tcPr>
          <w:p>
            <w:pPr>
              <w:pStyle w:val="TableContents"/>
              <w:bidi w:val="0"/>
              <w:spacing w:lineRule="auto" w:line="276" w:before="0" w:after="283"/>
              <w:jc w:val="center"/>
              <w:rPr>
                <w:b/>
                <w:sz w:val="20"/>
              </w:rPr>
            </w:pPr>
            <w:bookmarkStart w:id="5" w:name="xdx_903_edei--EntityIncorporationStateCo"/>
            <w:bookmarkEnd w:id="5"/>
            <w:r>
              <w:rPr>
                <w:b/>
                <w:sz w:val="20"/>
              </w:rPr>
              <w:t>Delaware</w:t>
            </w:r>
          </w:p>
        </w:tc>
        <w:tc>
          <w:tcPr>
            <w:tcW w:w="60" w:type="dxa"/>
            <w:tcBorders/>
            <w:tcMar>
              <w:bottom w:w="0" w:type="dxa"/>
            </w:tcMar>
            <w:vAlign w:val="center"/>
          </w:tcPr>
          <w:p>
            <w:pPr>
              <w:pStyle w:val="TableContents"/>
              <w:bidi w:val="0"/>
              <w:spacing w:lineRule="auto" w:line="276" w:before="0" w:after="283"/>
              <w:jc w:val="left"/>
              <w:rPr/>
            </w:pPr>
            <w:r>
              <w:rPr/>
              <w:t> </w:t>
            </w:r>
          </w:p>
        </w:tc>
        <w:tc>
          <w:tcPr>
            <w:tcW w:w="2210" w:type="dxa"/>
            <w:tcBorders>
              <w:bottom w:val="single" w:sz="8" w:space="0" w:color="000000"/>
            </w:tcBorders>
            <w:vAlign w:val="center"/>
          </w:tcPr>
          <w:p>
            <w:pPr>
              <w:pStyle w:val="TableContents"/>
              <w:bidi w:val="0"/>
              <w:spacing w:lineRule="auto" w:line="276" w:before="0" w:after="283"/>
              <w:jc w:val="center"/>
              <w:rPr>
                <w:b/>
                <w:sz w:val="20"/>
              </w:rPr>
            </w:pPr>
            <w:bookmarkStart w:id="6" w:name="xdx_90F_edei--EntityFileNumber_c20260915"/>
            <w:bookmarkEnd w:id="6"/>
            <w:r>
              <w:rPr>
                <w:b/>
                <w:sz w:val="20"/>
              </w:rPr>
              <w:t>001-39699</w:t>
            </w:r>
          </w:p>
        </w:tc>
        <w:tc>
          <w:tcPr>
            <w:tcW w:w="60" w:type="dxa"/>
            <w:tcBorders/>
            <w:tcMar>
              <w:bottom w:w="0" w:type="dxa"/>
            </w:tcMar>
            <w:vAlign w:val="center"/>
          </w:tcPr>
          <w:p>
            <w:pPr>
              <w:pStyle w:val="TableContents"/>
              <w:bidi w:val="0"/>
              <w:spacing w:lineRule="auto" w:line="276" w:before="0" w:after="283"/>
              <w:jc w:val="left"/>
              <w:rPr/>
            </w:pPr>
            <w:r>
              <w:rPr/>
              <w:t> </w:t>
            </w:r>
          </w:p>
        </w:tc>
        <w:tc>
          <w:tcPr>
            <w:tcW w:w="2780" w:type="dxa"/>
            <w:tcBorders>
              <w:bottom w:val="single" w:sz="8" w:space="0" w:color="000000"/>
            </w:tcBorders>
            <w:vAlign w:val="center"/>
          </w:tcPr>
          <w:p>
            <w:pPr>
              <w:pStyle w:val="TableContents"/>
              <w:bidi w:val="0"/>
              <w:spacing w:lineRule="auto" w:line="276" w:before="0" w:after="283"/>
              <w:jc w:val="center"/>
              <w:rPr>
                <w:b/>
                <w:sz w:val="20"/>
              </w:rPr>
            </w:pPr>
            <w:bookmarkStart w:id="7" w:name="xdx_906_edei--EntityTaxIdentificationNum"/>
            <w:bookmarkEnd w:id="7"/>
            <w:r>
              <w:rPr>
                <w:b/>
                <w:sz w:val="20"/>
              </w:rPr>
              <w:t>37-1827430</w:t>
            </w:r>
          </w:p>
        </w:tc>
      </w:tr>
      <w:tr>
        <w:trPr/>
        <w:tc>
          <w:tcPr>
            <w:tcW w:w="2165" w:type="dxa"/>
            <w:tcBorders/>
            <w:tcMar>
              <w:bottom w:w="0" w:type="dxa"/>
            </w:tcMar>
            <w:vAlign w:val="center"/>
          </w:tcPr>
          <w:p>
            <w:pPr>
              <w:pStyle w:val="TableContents"/>
              <w:bidi w:val="0"/>
              <w:spacing w:lineRule="auto" w:line="276" w:before="0" w:after="283"/>
              <w:jc w:val="center"/>
              <w:rPr>
                <w:sz w:val="20"/>
              </w:rPr>
            </w:pPr>
            <w:r>
              <w:rPr>
                <w:sz w:val="20"/>
              </w:rPr>
              <w:t>(State or other jurisdiction</w:t>
            </w:r>
          </w:p>
        </w:tc>
        <w:tc>
          <w:tcPr>
            <w:tcW w:w="60" w:type="dxa"/>
            <w:tcBorders/>
            <w:tcMar>
              <w:bottom w:w="0" w:type="dxa"/>
            </w:tcMar>
            <w:vAlign w:val="center"/>
          </w:tcPr>
          <w:p>
            <w:pPr>
              <w:pStyle w:val="TableContents"/>
              <w:bidi w:val="0"/>
              <w:spacing w:lineRule="auto" w:line="276" w:before="0" w:after="283"/>
              <w:jc w:val="left"/>
              <w:rPr/>
            </w:pPr>
            <w:r>
              <w:rPr/>
              <w:t> </w:t>
            </w:r>
          </w:p>
        </w:tc>
        <w:tc>
          <w:tcPr>
            <w:tcW w:w="2210" w:type="dxa"/>
            <w:tcBorders/>
            <w:tcMar>
              <w:bottom w:w="0" w:type="dxa"/>
            </w:tcMar>
            <w:vAlign w:val="center"/>
          </w:tcPr>
          <w:p>
            <w:pPr>
              <w:pStyle w:val="TableContents"/>
              <w:bidi w:val="0"/>
              <w:spacing w:lineRule="auto" w:line="276" w:before="0" w:after="283"/>
              <w:jc w:val="center"/>
              <w:rPr>
                <w:sz w:val="20"/>
              </w:rPr>
            </w:pPr>
            <w:r>
              <w:rPr>
                <w:sz w:val="20"/>
              </w:rPr>
              <w:t>(Commission File Number)</w:t>
            </w:r>
          </w:p>
        </w:tc>
        <w:tc>
          <w:tcPr>
            <w:tcW w:w="60" w:type="dxa"/>
            <w:tcBorders/>
            <w:tcMar>
              <w:bottom w:w="0" w:type="dxa"/>
            </w:tcMar>
            <w:vAlign w:val="center"/>
          </w:tcPr>
          <w:p>
            <w:pPr>
              <w:pStyle w:val="TableContents"/>
              <w:bidi w:val="0"/>
              <w:spacing w:lineRule="auto" w:line="276" w:before="0" w:after="283"/>
              <w:jc w:val="left"/>
              <w:rPr/>
            </w:pPr>
            <w:r>
              <w:rPr/>
              <w:t> </w:t>
            </w:r>
          </w:p>
        </w:tc>
        <w:tc>
          <w:tcPr>
            <w:tcW w:w="2780" w:type="dxa"/>
            <w:tcBorders/>
            <w:tcMar>
              <w:bottom w:w="0" w:type="dxa"/>
            </w:tcMar>
            <w:vAlign w:val="center"/>
          </w:tcPr>
          <w:p>
            <w:pPr>
              <w:pStyle w:val="TableContents"/>
              <w:bidi w:val="0"/>
              <w:spacing w:lineRule="auto" w:line="276" w:before="0" w:after="283"/>
              <w:jc w:val="center"/>
              <w:rPr>
                <w:sz w:val="20"/>
              </w:rPr>
            </w:pPr>
            <w:r>
              <w:rPr>
                <w:sz w:val="20"/>
              </w:rPr>
              <w:t>(IRS Employer Identification No.)</w:t>
            </w:r>
          </w:p>
        </w:tc>
      </w:tr>
      <w:tr>
        <w:trPr/>
        <w:tc>
          <w:tcPr>
            <w:tcW w:w="2165" w:type="dxa"/>
            <w:tcBorders/>
            <w:tcMar>
              <w:bottom w:w="0" w:type="dxa"/>
            </w:tcMar>
            <w:vAlign w:val="center"/>
          </w:tcPr>
          <w:p>
            <w:pPr>
              <w:pStyle w:val="TableContents"/>
              <w:bidi w:val="0"/>
              <w:spacing w:lineRule="auto" w:line="276" w:before="0" w:after="283"/>
              <w:jc w:val="center"/>
              <w:rPr>
                <w:sz w:val="20"/>
              </w:rPr>
            </w:pPr>
            <w:r>
              <w:rPr>
                <w:sz w:val="20"/>
              </w:rPr>
              <w:t>of incorporation)</w:t>
            </w:r>
          </w:p>
        </w:tc>
        <w:tc>
          <w:tcPr>
            <w:tcW w:w="60" w:type="dxa"/>
            <w:tcBorders/>
            <w:tcMar>
              <w:bottom w:w="0" w:type="dxa"/>
            </w:tcMar>
            <w:vAlign w:val="center"/>
          </w:tcPr>
          <w:p>
            <w:pPr>
              <w:pStyle w:val="TableContents"/>
              <w:bidi w:val="0"/>
              <w:spacing w:lineRule="auto" w:line="276" w:before="0" w:after="283"/>
              <w:jc w:val="left"/>
              <w:rPr/>
            </w:pPr>
            <w:r>
              <w:rPr/>
              <w:t> </w:t>
            </w:r>
          </w:p>
        </w:tc>
        <w:tc>
          <w:tcPr>
            <w:tcW w:w="2210" w:type="dxa"/>
            <w:tcBorders/>
            <w:tcMar>
              <w:bottom w:w="0" w:type="dxa"/>
            </w:tcMar>
            <w:vAlign w:val="center"/>
          </w:tcPr>
          <w:p>
            <w:pPr>
              <w:pStyle w:val="TableContents"/>
              <w:bidi w:val="0"/>
              <w:spacing w:lineRule="auto" w:line="276" w:before="0" w:after="283"/>
              <w:jc w:val="center"/>
              <w:rPr/>
            </w:pPr>
            <w:r>
              <w:rPr/>
              <w:t> </w:t>
            </w:r>
          </w:p>
        </w:tc>
        <w:tc>
          <w:tcPr>
            <w:tcW w:w="60" w:type="dxa"/>
            <w:tcBorders/>
            <w:tcMar>
              <w:bottom w:w="0" w:type="dxa"/>
            </w:tcMar>
            <w:vAlign w:val="center"/>
          </w:tcPr>
          <w:p>
            <w:pPr>
              <w:pStyle w:val="TableContents"/>
              <w:bidi w:val="0"/>
              <w:spacing w:lineRule="auto" w:line="276" w:before="0" w:after="283"/>
              <w:jc w:val="left"/>
              <w:rPr/>
            </w:pPr>
            <w:r>
              <w:rPr/>
              <w:t> </w:t>
            </w:r>
          </w:p>
        </w:tc>
        <w:tc>
          <w:tcPr>
            <w:tcW w:w="2780" w:type="dxa"/>
            <w:tcBorders/>
            <w:tcMar>
              <w:bottom w:w="0" w:type="dxa"/>
            </w:tcMar>
            <w:vAlign w:val="center"/>
          </w:tcPr>
          <w:p>
            <w:pPr>
              <w:pStyle w:val="TableContents"/>
              <w:bidi w:val="0"/>
              <w:spacing w:lineRule="auto" w:line="276" w:before="0" w:after="283"/>
              <w:jc w:val="center"/>
              <w:rPr/>
            </w:pPr>
            <w:r>
              <w:rPr/>
              <w:t> </w:t>
            </w:r>
          </w:p>
        </w:tc>
      </w:tr>
    </w:tbl>
    <w:p>
      <w:pPr>
        <w:pStyle w:val="TextBody"/>
        <w:bidi w:val="0"/>
        <w:jc w:val="left"/>
        <w:rPr>
          <w:caps w:val="false"/>
          <w:smallCaps w:val="false"/>
        </w:rPr>
      </w:pPr>
      <w:r>
        <w:rPr>
          <w:caps w:val="false"/>
          <w:smallCaps w:val="false"/>
        </w:rPr>
        <w:t> </w:t>
      </w:r>
    </w:p>
    <w:tbl>
      <w:tblPr>
        <w:tblW w:w="5455" w:type="dxa"/>
        <w:jc w:val="left"/>
        <w:tblInd w:w="0" w:type="dxa"/>
        <w:tblLayout w:type="fixed"/>
        <w:tblCellMar>
          <w:top w:w="0" w:type="dxa"/>
          <w:left w:w="0" w:type="dxa"/>
          <w:bottom w:w="28" w:type="dxa"/>
          <w:right w:w="0" w:type="dxa"/>
        </w:tblCellMar>
      </w:tblPr>
      <w:tblGrid>
        <w:gridCol w:w="4475"/>
        <w:gridCol w:w="60"/>
        <w:gridCol w:w="920"/>
      </w:tblGrid>
      <w:tr>
        <w:trPr/>
        <w:tc>
          <w:tcPr>
            <w:tcW w:w="4475" w:type="dxa"/>
            <w:tcBorders>
              <w:bottom w:val="single" w:sz="8" w:space="0" w:color="000000"/>
            </w:tcBorders>
            <w:vAlign w:val="center"/>
          </w:tcPr>
          <w:p>
            <w:pPr>
              <w:pStyle w:val="TableContents"/>
              <w:bidi w:val="0"/>
              <w:spacing w:lineRule="auto" w:line="276" w:before="0" w:after="283"/>
              <w:jc w:val="center"/>
              <w:rPr>
                <w:b/>
                <w:sz w:val="20"/>
              </w:rPr>
            </w:pPr>
            <w:bookmarkStart w:id="8" w:name="xdx_90F_edei--EntityAddressAddressLine1_"/>
            <w:bookmarkEnd w:id="8"/>
            <w:r>
              <w:rPr>
                <w:b/>
                <w:sz w:val="20"/>
              </w:rPr>
              <w:t xml:space="preserve">4670 Willow Road, </w:t>
            </w:r>
            <w:bookmarkStart w:id="9" w:name="xdx_90C_edei--EntityAddressAddressLine2_"/>
            <w:bookmarkEnd w:id="9"/>
            <w:r>
              <w:rPr>
                <w:b/>
                <w:sz w:val="20"/>
              </w:rPr>
              <w:t xml:space="preserve">Suite 125, </w:t>
            </w:r>
            <w:bookmarkStart w:id="10" w:name="xdx_907_edei--EntityAddressCityOrTown_c2"/>
            <w:bookmarkEnd w:id="10"/>
            <w:r>
              <w:rPr>
                <w:b/>
                <w:sz w:val="20"/>
              </w:rPr>
              <w:t xml:space="preserve">Pleasanton, </w:t>
            </w:r>
            <w:bookmarkStart w:id="11" w:name="xdx_90A_edei--EntityAddressStateOrProvin"/>
            <w:bookmarkEnd w:id="11"/>
            <w:r>
              <w:rPr>
                <w:b/>
                <w:sz w:val="20"/>
              </w:rPr>
              <w:t>California</w:t>
            </w:r>
          </w:p>
        </w:tc>
        <w:tc>
          <w:tcPr>
            <w:tcW w:w="60" w:type="dxa"/>
            <w:tcBorders/>
            <w:tcMar>
              <w:bottom w:w="0" w:type="dxa"/>
            </w:tcMar>
            <w:vAlign w:val="center"/>
          </w:tcPr>
          <w:p>
            <w:pPr>
              <w:pStyle w:val="TableContents"/>
              <w:bidi w:val="0"/>
              <w:spacing w:lineRule="auto" w:line="276" w:before="0" w:after="283"/>
              <w:jc w:val="left"/>
              <w:rPr/>
            </w:pPr>
            <w:r>
              <w:rPr/>
              <w:t> </w:t>
            </w:r>
          </w:p>
        </w:tc>
        <w:tc>
          <w:tcPr>
            <w:tcW w:w="920" w:type="dxa"/>
            <w:tcBorders>
              <w:bottom w:val="single" w:sz="8" w:space="0" w:color="000000"/>
            </w:tcBorders>
            <w:vAlign w:val="center"/>
          </w:tcPr>
          <w:p>
            <w:pPr>
              <w:pStyle w:val="TableContents"/>
              <w:bidi w:val="0"/>
              <w:spacing w:lineRule="auto" w:line="276" w:before="0" w:after="283"/>
              <w:jc w:val="center"/>
              <w:rPr>
                <w:b/>
                <w:sz w:val="20"/>
              </w:rPr>
            </w:pPr>
            <w:bookmarkStart w:id="12" w:name="xdx_90B_edei--EntityAddressPostalZipCode"/>
            <w:bookmarkEnd w:id="12"/>
            <w:r>
              <w:rPr>
                <w:b/>
                <w:sz w:val="20"/>
              </w:rPr>
              <w:t>94588</w:t>
            </w:r>
          </w:p>
        </w:tc>
      </w:tr>
      <w:tr>
        <w:trPr/>
        <w:tc>
          <w:tcPr>
            <w:tcW w:w="4475" w:type="dxa"/>
            <w:tcBorders/>
            <w:tcMar>
              <w:bottom w:w="0" w:type="dxa"/>
            </w:tcMar>
            <w:vAlign w:val="center"/>
          </w:tcPr>
          <w:p>
            <w:pPr>
              <w:pStyle w:val="TableContents"/>
              <w:bidi w:val="0"/>
              <w:spacing w:lineRule="auto" w:line="276" w:before="0" w:after="283"/>
              <w:jc w:val="center"/>
              <w:rPr>
                <w:sz w:val="20"/>
              </w:rPr>
            </w:pPr>
            <w:r>
              <w:rPr>
                <w:sz w:val="20"/>
              </w:rPr>
              <w:t>(Address of principal executive offices)</w:t>
            </w:r>
          </w:p>
        </w:tc>
        <w:tc>
          <w:tcPr>
            <w:tcW w:w="60" w:type="dxa"/>
            <w:tcBorders/>
            <w:tcMar>
              <w:bottom w:w="0" w:type="dxa"/>
            </w:tcMar>
            <w:vAlign w:val="center"/>
          </w:tcPr>
          <w:p>
            <w:pPr>
              <w:pStyle w:val="TableContents"/>
              <w:bidi w:val="0"/>
              <w:spacing w:lineRule="auto" w:line="276" w:before="0" w:after="283"/>
              <w:jc w:val="left"/>
              <w:rPr/>
            </w:pPr>
            <w:r>
              <w:rPr/>
              <w:t> </w:t>
            </w:r>
          </w:p>
        </w:tc>
        <w:tc>
          <w:tcPr>
            <w:tcW w:w="920" w:type="dxa"/>
            <w:tcBorders/>
            <w:tcMar>
              <w:bottom w:w="0" w:type="dxa"/>
            </w:tcMar>
            <w:vAlign w:val="center"/>
          </w:tcPr>
          <w:p>
            <w:pPr>
              <w:pStyle w:val="TableContents"/>
              <w:bidi w:val="0"/>
              <w:spacing w:lineRule="auto" w:line="276" w:before="0" w:after="283"/>
              <w:jc w:val="center"/>
              <w:rPr>
                <w:sz w:val="20"/>
              </w:rPr>
            </w:pPr>
            <w:r>
              <w:rPr>
                <w:sz w:val="20"/>
              </w:rPr>
              <w:t>(Zip Code)</w:t>
            </w:r>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bookmarkStart w:id="13" w:name="xdx_90A_edei--CityAreaCode_c20260915__20"/>
      <w:bookmarkEnd w:id="13"/>
      <w:r>
        <w:rPr>
          <w:rFonts w:ascii="Times New Roman;Times;Serif" w:hAnsi="Times New Roman;Times;Serif"/>
          <w:b/>
          <w:i w:val="false"/>
          <w:caps w:val="false"/>
          <w:smallCaps w:val="false"/>
          <w:sz w:val="20"/>
        </w:rPr>
        <w:t xml:space="preserve">(925) </w:t>
      </w:r>
      <w:bookmarkStart w:id="14" w:name="xdx_900_edei--LocalPhoneNumber_c20260915"/>
      <w:bookmarkEnd w:id="14"/>
      <w:r>
        <w:rPr>
          <w:rFonts w:ascii="Times New Roman;Times;Serif" w:hAnsi="Times New Roman;Times;Serif"/>
          <w:b/>
          <w:i w:val="false"/>
          <w:caps w:val="false"/>
          <w:smallCaps w:val="false"/>
          <w:sz w:val="20"/>
        </w:rPr>
        <w:t>400-4366</w:t>
      </w:r>
    </w:p>
    <w:p>
      <w:pPr>
        <w:pStyle w:val="TextBody"/>
        <w:bidi w:val="0"/>
        <w:jc w:val="center"/>
        <w:rPr>
          <w:caps w:val="false"/>
          <w:smallCaps w:val="false"/>
        </w:rPr>
      </w:pPr>
      <w:r>
        <w:rPr>
          <w:caps w:val="false"/>
          <w:smallCaps w:val="false"/>
        </w:rPr>
        <w:t> </w:t>
      </w:r>
    </w:p>
    <w:tbl>
      <w:tblPr>
        <w:tblW w:w="5300" w:type="dxa"/>
        <w:jc w:val="left"/>
        <w:tblInd w:w="0" w:type="dxa"/>
        <w:tblLayout w:type="fixed"/>
        <w:tblCellMar>
          <w:top w:w="0" w:type="dxa"/>
          <w:left w:w="0" w:type="dxa"/>
          <w:bottom w:w="28" w:type="dxa"/>
          <w:right w:w="0" w:type="dxa"/>
        </w:tblCellMar>
      </w:tblPr>
      <w:tblGrid>
        <w:gridCol w:w="5225"/>
        <w:gridCol w:w="75"/>
      </w:tblGrid>
      <w:tr>
        <w:trPr/>
        <w:tc>
          <w:tcPr>
            <w:tcW w:w="5225" w:type="dxa"/>
            <w:tcBorders>
              <w:bottom w:val="single" w:sz="8" w:space="0" w:color="000000"/>
            </w:tcBorders>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lineRule="auto" w:line="276" w:before="0" w:after="283"/>
              <w:jc w:val="left"/>
              <w:rPr/>
            </w:pPr>
            <w:r>
              <w:rPr/>
              <w:t> </w:t>
            </w:r>
          </w:p>
        </w:tc>
      </w:tr>
      <w:tr>
        <w:trPr/>
        <w:tc>
          <w:tcPr>
            <w:tcW w:w="5225" w:type="dxa"/>
            <w:tcBorders/>
            <w:tcMar>
              <w:bottom w:w="0" w:type="dxa"/>
            </w:tcMar>
            <w:vAlign w:val="center"/>
          </w:tcPr>
          <w:p>
            <w:pPr>
              <w:pStyle w:val="TableContents"/>
              <w:bidi w:val="0"/>
              <w:spacing w:lineRule="auto" w:line="276" w:before="0" w:after="283"/>
              <w:jc w:val="center"/>
              <w:rPr>
                <w:sz w:val="20"/>
              </w:rPr>
            </w:pPr>
            <w:r>
              <w:rPr>
                <w:sz w:val="20"/>
              </w:rPr>
              <w:t>(Former Name or Former Address, if Changed Since Last Report)</w:t>
            </w:r>
          </w:p>
        </w:tc>
        <w:tc>
          <w:tcPr>
            <w:tcW w:w="75" w:type="dxa"/>
            <w:tcBorders/>
            <w:tcMar>
              <w:bottom w:w="0" w:type="dxa"/>
            </w:tcMar>
            <w:vAlign w:val="center"/>
          </w:tcPr>
          <w:p>
            <w:pPr>
              <w:pStyle w:val="TableContents"/>
              <w:bidi w:val="0"/>
              <w:spacing w:lineRule="auto" w:line="276"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obligations of the registrant under any of the following provisions:</w:t>
      </w:r>
    </w:p>
    <w:p>
      <w:pPr>
        <w:pStyle w:val="TextBody"/>
        <w:bidi w:val="0"/>
        <w:jc w:val="left"/>
        <w:rPr>
          <w:caps w:val="false"/>
          <w:smallCaps w:val="false"/>
        </w:rPr>
      </w:pPr>
      <w:r>
        <w:rPr>
          <w:caps w:val="false"/>
          <w:smallCaps w:val="false"/>
        </w:rPr>
        <w:t> </w:t>
      </w:r>
    </w:p>
    <w:p>
      <w:pPr>
        <w:pStyle w:val="TextBody"/>
        <w:bidi w:val="0"/>
        <w:ind w:left="0" w:right="0" w:firstLine="6"/>
        <w:jc w:val="left"/>
        <w:rPr>
          <w:caps w:val="false"/>
          <w:smallCaps w:val="false"/>
        </w:rPr>
      </w:pPr>
      <w:bookmarkStart w:id="15" w:name="xdx_90B_edei--WrittenCommunications_c202"/>
      <w:bookmarkEnd w:id="15"/>
      <w:r>
        <w:rPr>
          <w:caps w:val="false"/>
          <w:smallCaps w:val="false"/>
        </w:rPr>
        <w:t>☐       </w:t>
      </w:r>
      <w:r>
        <w:rPr>
          <w:rFonts w:ascii="Times New Roman;Times;Serif" w:hAnsi="Times New Roman;Times;Serif"/>
          <w:b w:val="false"/>
          <w:i w:val="false"/>
          <w:caps w:val="false"/>
          <w:smallCaps w:val="false"/>
          <w:sz w:val="20"/>
        </w:rPr>
        <w:t>Written communications pursuant to Rule 425 under the Securities Act (17 CFR 230.425)</w:t>
      </w:r>
    </w:p>
    <w:p>
      <w:pPr>
        <w:pStyle w:val="TextBody"/>
        <w:bidi w:val="0"/>
        <w:ind w:left="0" w:right="0" w:firstLine="6"/>
        <w:jc w:val="left"/>
        <w:rPr>
          <w:caps w:val="false"/>
          <w:smallCaps w:val="false"/>
        </w:rPr>
      </w:pPr>
      <w:bookmarkStart w:id="16" w:name="xdx_908_edei--SolicitingMaterial_c202609"/>
      <w:bookmarkEnd w:id="16"/>
      <w:r>
        <w:rPr>
          <w:caps w:val="false"/>
          <w:smallCaps w:val="false"/>
        </w:rPr>
        <w:t>☐       </w:t>
      </w:r>
      <w:r>
        <w:rPr>
          <w:rFonts w:ascii="Times New Roman;Times;Serif" w:hAnsi="Times New Roman;Times;Serif"/>
          <w:b w:val="false"/>
          <w:i w:val="false"/>
          <w:caps w:val="false"/>
          <w:smallCaps w:val="false"/>
          <w:sz w:val="20"/>
        </w:rPr>
        <w:t>Soliciting material pursuant to Rule 14a-12 under the Exchange Act (17 CFR 240.14a-12) </w:t>
      </w:r>
    </w:p>
    <w:p>
      <w:pPr>
        <w:pStyle w:val="TextBody"/>
        <w:bidi w:val="0"/>
        <w:ind w:left="0" w:right="0" w:firstLine="6"/>
        <w:jc w:val="left"/>
        <w:rPr>
          <w:caps w:val="false"/>
          <w:smallCaps w:val="false"/>
        </w:rPr>
      </w:pPr>
      <w:bookmarkStart w:id="17" w:name="xdx_903_edei--PreCommencementTenderOffer"/>
      <w:bookmarkEnd w:id="17"/>
      <w:r>
        <w:rPr>
          <w:caps w:val="false"/>
          <w:smallCaps w:val="false"/>
        </w:rPr>
        <w:t>☐       </w:t>
      </w:r>
      <w:r>
        <w:rPr>
          <w:rFonts w:ascii="Times New Roman;Times;Serif" w:hAnsi="Times New Roman;Times;Serif"/>
          <w:b w:val="false"/>
          <w:i w:val="false"/>
          <w:caps w:val="false"/>
          <w:smallCaps w:val="false"/>
          <w:sz w:val="20"/>
        </w:rPr>
        <w:t>Pre-commencement communications pursuant to Rule 14d-2(b) under the Exchange Act (17 CFR 240.14d-2(b))</w:t>
      </w:r>
    </w:p>
    <w:p>
      <w:pPr>
        <w:pStyle w:val="TextBody"/>
        <w:bidi w:val="0"/>
        <w:ind w:left="0" w:right="0" w:firstLine="6"/>
        <w:jc w:val="left"/>
        <w:rPr>
          <w:caps w:val="false"/>
          <w:smallCaps w:val="false"/>
        </w:rPr>
      </w:pPr>
      <w:bookmarkStart w:id="18" w:name="xdx_906_edei--PreCommencementIssuerTende"/>
      <w:bookmarkEnd w:id="18"/>
      <w:r>
        <w:rPr>
          <w:caps w:val="false"/>
          <w:smallCaps w:val="false"/>
        </w:rPr>
        <w:t>☐       </w:t>
      </w:r>
      <w:r>
        <w:rPr>
          <w:rFonts w:ascii="Times New Roman;Times;Serif" w:hAnsi="Times New Roman;Times;Serif"/>
          <w:b w:val="false"/>
          <w:i w:val="false"/>
          <w:caps w:val="false"/>
          <w:smallCaps w:val="false"/>
          <w:sz w:val="20"/>
        </w:rPr>
        <w:t>Pre-commencement communications pursuant to Rule 13e-4(c) under the Exchange Act (17 CFR 240.13e-4(c))</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tbl>
      <w:tblPr>
        <w:tblW w:w="8940" w:type="dxa"/>
        <w:jc w:val="left"/>
        <w:tblInd w:w="-10" w:type="dxa"/>
        <w:tblLayout w:type="fixed"/>
        <w:tblCellMar>
          <w:top w:w="30" w:type="dxa"/>
          <w:left w:w="30" w:type="dxa"/>
          <w:bottom w:w="30" w:type="dxa"/>
          <w:right w:w="30" w:type="dxa"/>
        </w:tblCellMar>
      </w:tblPr>
      <w:tblGrid>
        <w:gridCol w:w="3620"/>
        <w:gridCol w:w="1610"/>
        <w:gridCol w:w="3710"/>
      </w:tblGrid>
      <w:tr>
        <w:trPr/>
        <w:tc>
          <w:tcPr>
            <w:tcW w:w="362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b/>
                <w:sz w:val="20"/>
              </w:rPr>
            </w:pPr>
            <w:r>
              <w:rPr>
                <w:b/>
                <w:sz w:val="20"/>
              </w:rPr>
              <w:t>Title of each class</w:t>
            </w:r>
          </w:p>
        </w:tc>
        <w:tc>
          <w:tcPr>
            <w:tcW w:w="1610" w:type="dxa"/>
            <w:tcBorders>
              <w:top w:val="single" w:sz="8" w:space="0" w:color="000000"/>
              <w:bottom w:val="single" w:sz="8" w:space="0" w:color="000000"/>
              <w:right w:val="single" w:sz="8" w:space="0" w:color="000000"/>
            </w:tcBorders>
            <w:tcMar>
              <w:top w:w="28" w:type="dxa"/>
              <w:left w:w="0" w:type="dxa"/>
              <w:bottom w:w="28" w:type="dxa"/>
              <w:right w:w="28" w:type="dxa"/>
            </w:tcMar>
            <w:vAlign w:val="center"/>
          </w:tcPr>
          <w:p>
            <w:pPr>
              <w:pStyle w:val="TableContents"/>
              <w:bidi w:val="0"/>
              <w:spacing w:before="0" w:after="283"/>
              <w:jc w:val="center"/>
              <w:rPr>
                <w:b/>
                <w:sz w:val="20"/>
              </w:rPr>
            </w:pPr>
            <w:r>
              <w:rPr>
                <w:b/>
                <w:sz w:val="20"/>
              </w:rPr>
              <w:t>Trading Symbol(s)</w:t>
            </w:r>
          </w:p>
        </w:tc>
        <w:tc>
          <w:tcPr>
            <w:tcW w:w="3710" w:type="dxa"/>
            <w:tcBorders>
              <w:top w:val="single" w:sz="8" w:space="0" w:color="000000"/>
              <w:bottom w:val="single" w:sz="8" w:space="0" w:color="000000"/>
              <w:right w:val="single" w:sz="8" w:space="0" w:color="000000"/>
            </w:tcBorders>
            <w:tcMar>
              <w:top w:w="28" w:type="dxa"/>
              <w:left w:w="0" w:type="dxa"/>
              <w:bottom w:w="28" w:type="dxa"/>
              <w:right w:w="28" w:type="dxa"/>
            </w:tcMar>
            <w:vAlign w:val="center"/>
          </w:tcPr>
          <w:p>
            <w:pPr>
              <w:pStyle w:val="TableContents"/>
              <w:bidi w:val="0"/>
              <w:spacing w:before="0" w:after="283"/>
              <w:jc w:val="center"/>
              <w:rPr>
                <w:b/>
                <w:sz w:val="20"/>
              </w:rPr>
            </w:pPr>
            <w:r>
              <w:rPr>
                <w:b/>
                <w:sz w:val="20"/>
              </w:rPr>
              <w:t>Name of each exchange on which registered</w:t>
            </w:r>
          </w:p>
        </w:tc>
      </w:tr>
      <w:tr>
        <w:trPr/>
        <w:tc>
          <w:tcPr>
            <w:tcW w:w="36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sz w:val="20"/>
              </w:rPr>
            </w:pPr>
            <w:bookmarkStart w:id="19" w:name="xdx_907_edei--Security12bTitle_c20260915"/>
            <w:bookmarkEnd w:id="19"/>
            <w:r>
              <w:rPr>
                <w:sz w:val="20"/>
              </w:rPr>
              <w:t>Common Stock, par value $0.0001 per share</w:t>
            </w:r>
          </w:p>
        </w:tc>
        <w:tc>
          <w:tcPr>
            <w:tcW w:w="1610" w:type="dxa"/>
            <w:tcBorders>
              <w:bottom w:val="single" w:sz="8" w:space="0" w:color="000000"/>
              <w:right w:val="single" w:sz="8" w:space="0" w:color="000000"/>
            </w:tcBorders>
            <w:tcMar>
              <w:top w:w="0" w:type="dxa"/>
              <w:left w:w="0" w:type="dxa"/>
              <w:bottom w:w="28" w:type="dxa"/>
              <w:right w:w="28" w:type="dxa"/>
            </w:tcMar>
            <w:vAlign w:val="center"/>
          </w:tcPr>
          <w:p>
            <w:pPr>
              <w:pStyle w:val="TableContents"/>
              <w:bidi w:val="0"/>
              <w:spacing w:before="0" w:after="283"/>
              <w:jc w:val="center"/>
              <w:rPr>
                <w:sz w:val="20"/>
              </w:rPr>
            </w:pPr>
            <w:bookmarkStart w:id="20" w:name="xdx_90D_edei--TradingSymbol_c20260915__2"/>
            <w:bookmarkEnd w:id="20"/>
            <w:r>
              <w:rPr>
                <w:sz w:val="20"/>
              </w:rPr>
              <w:t>LIDR</w:t>
            </w:r>
          </w:p>
        </w:tc>
        <w:tc>
          <w:tcPr>
            <w:tcW w:w="3710" w:type="dxa"/>
            <w:tcBorders>
              <w:bottom w:val="single" w:sz="8" w:space="0" w:color="000000"/>
              <w:right w:val="single" w:sz="8" w:space="0" w:color="000000"/>
            </w:tcBorders>
            <w:tcMar>
              <w:top w:w="0" w:type="dxa"/>
              <w:left w:w="0" w:type="dxa"/>
              <w:bottom w:w="28" w:type="dxa"/>
              <w:right w:w="28" w:type="dxa"/>
            </w:tcMar>
            <w:vAlign w:val="center"/>
          </w:tcPr>
          <w:p>
            <w:pPr>
              <w:pStyle w:val="TableContents"/>
              <w:bidi w:val="0"/>
              <w:spacing w:before="0" w:after="283"/>
              <w:jc w:val="center"/>
              <w:rPr>
                <w:sz w:val="20"/>
                <w:shd w:fill="FFFFFF" w:val="clear"/>
              </w:rPr>
            </w:pPr>
            <w:bookmarkStart w:id="21" w:name="xdx_905_edei--SecurityExchangeName_c2026"/>
            <w:bookmarkEnd w:id="21"/>
            <w:r>
              <w:rPr>
                <w:sz w:val="20"/>
                <w:shd w:fill="FFFFFF" w:val="clear"/>
              </w:rPr>
              <w:t>The Nasdaq Stock Market LLC</w:t>
            </w:r>
          </w:p>
        </w:tc>
      </w:tr>
    </w:tbl>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F_edei--EntityEmergingGrowthCompan"/>
      <w:bookmarkEnd w:id="22"/>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jc w:val="left"/>
        <w:rPr>
          <w:caps w:val="false"/>
          <w:smallCaps w:val="false"/>
        </w:rPr>
      </w:pPr>
      <w:r>
        <w:rPr>
          <w:caps w:val="false"/>
          <w:smallCaps w:val="false"/>
        </w:rPr>
        <w:t> </w:t>
      </w:r>
    </w:p>
    <w:p>
      <w:pPr>
        <w:pStyle w:val="TextBody"/>
        <w:bidi w:val="0"/>
        <w:spacing w:before="60" w:after="240"/>
        <w:jc w:val="left"/>
        <w:rPr>
          <w:bdr w:val="single" w:sz="8" w:space="1" w:color="000000"/>
        </w:rPr>
      </w:pPr>
      <w:r>
        <w:rPr>
          <w:bdr w:val="single" w:sz="8" w:space="1" w:color="000000"/>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tbl>
      <w:tblPr>
        <w:tblW w:w="5538" w:type="dxa"/>
        <w:jc w:val="left"/>
        <w:tblInd w:w="0" w:type="dxa"/>
        <w:tblLayout w:type="fixed"/>
        <w:tblCellMar>
          <w:top w:w="0" w:type="dxa"/>
          <w:left w:w="0" w:type="dxa"/>
          <w:bottom w:w="0" w:type="dxa"/>
          <w:right w:w="0" w:type="dxa"/>
        </w:tblCellMar>
      </w:tblPr>
      <w:tblGrid>
        <w:gridCol w:w="38"/>
        <w:gridCol w:w="1025"/>
        <w:gridCol w:w="4475"/>
      </w:tblGrid>
      <w:tr>
        <w:trPr/>
        <w:tc>
          <w:tcPr>
            <w:tcW w:w="38"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b/>
              </w:rPr>
            </w:pPr>
            <w:r>
              <w:rPr>
                <w:b/>
              </w:rPr>
              <w:t>Item 1.01.</w:t>
            </w:r>
          </w:p>
        </w:tc>
        <w:tc>
          <w:tcPr>
            <w:tcW w:w="4475" w:type="dxa"/>
            <w:tcBorders/>
            <w:vAlign w:val="center"/>
          </w:tcPr>
          <w:p>
            <w:pPr>
              <w:pStyle w:val="TableContents"/>
              <w:bidi w:val="0"/>
              <w:spacing w:before="0" w:after="283"/>
              <w:jc w:val="both"/>
              <w:rPr>
                <w:b/>
              </w:rPr>
            </w:pPr>
            <w:r>
              <w:rPr>
                <w:b/>
              </w:rPr>
              <w:t>Entry into a Material Definitive Agreement.</w:t>
            </w:r>
          </w:p>
        </w:tc>
      </w:tr>
    </w:tbl>
    <w:p>
      <w:pPr>
        <w:pStyle w:val="TextBody"/>
        <w:bidi w:val="0"/>
        <w:ind w:left="0" w:right="0" w:hanging="0"/>
        <w:jc w:val="left"/>
        <w:rPr>
          <w:caps w:val="false"/>
          <w:smallCaps w:val="false"/>
        </w:rPr>
      </w:pPr>
      <w:r>
        <w:rPr>
          <w:caps w:val="false"/>
          <w:smallCaps w:val="false"/>
        </w:rPr>
        <w:t> </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15, 2026, AEye, Inc.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entered into an At Market Issuance Sales Agreement (the “</w:t>
      </w:r>
      <w:r>
        <w:rPr>
          <w:rFonts w:ascii="Times New Roman;Times;Serif" w:hAnsi="Times New Roman;Times;Serif"/>
          <w:b w:val="false"/>
          <w:i w:val="false"/>
          <w:caps w:val="false"/>
          <w:smallCaps w:val="false"/>
          <w:sz w:val="20"/>
          <w:u w:val="single"/>
        </w:rPr>
        <w:t>Sales Agreement</w:t>
      </w:r>
      <w:r>
        <w:rPr>
          <w:rFonts w:ascii="Times New Roman;Times;Serif" w:hAnsi="Times New Roman;Times;Serif"/>
          <w:b w:val="false"/>
          <w:i w:val="false"/>
          <w:caps w:val="false"/>
          <w:smallCaps w:val="false"/>
          <w:sz w:val="20"/>
        </w:rPr>
        <w:t>”) with A.G.P./Alliance Global Partners (“</w:t>
      </w:r>
      <w:r>
        <w:rPr>
          <w:rFonts w:ascii="Times New Roman;Times;Serif" w:hAnsi="Times New Roman;Times;Serif"/>
          <w:b w:val="false"/>
          <w:i w:val="false"/>
          <w:caps w:val="false"/>
          <w:smallCaps w:val="false"/>
          <w:sz w:val="20"/>
          <w:u w:val="single"/>
        </w:rPr>
        <w:t>A.G.P.</w:t>
      </w:r>
      <w:r>
        <w:rPr>
          <w:rFonts w:ascii="Times New Roman;Times;Serif" w:hAnsi="Times New Roman;Times;Serif"/>
          <w:b w:val="false"/>
          <w:i w:val="false"/>
          <w:caps w:val="false"/>
          <w:smallCaps w:val="false"/>
          <w:sz w:val="20"/>
        </w:rPr>
        <w:t>”). In accordance with the terms of the Sales Agreement, the Company may offer and sell from time to time through A.G.P., acting as sales agent, the Company’s common stock having an aggregate offering price of up to $50,000,000 (the “</w:t>
      </w:r>
      <w:r>
        <w:rPr>
          <w:rFonts w:ascii="Times New Roman;Times;Serif" w:hAnsi="Times New Roman;Times;Serif"/>
          <w:b w:val="false"/>
          <w:i w:val="false"/>
          <w:caps w:val="false"/>
          <w:smallCaps w:val="false"/>
          <w:sz w:val="20"/>
          <w:u w:val="single"/>
        </w:rPr>
        <w:t>Placement Shares</w:t>
      </w:r>
      <w:r>
        <w:rPr>
          <w:rFonts w:ascii="Times New Roman;Times;Serif" w:hAnsi="Times New Roman;Times;Serif"/>
          <w:b w:val="false"/>
          <w:i w:val="false"/>
          <w:caps w:val="false"/>
          <w:smallCaps w:val="false"/>
          <w:sz w:val="20"/>
        </w:rPr>
        <w:t>”). The Placement Shares will be issued pursuant to the Company’s shelf registration statement on Form S-3 (Registration No. 333-296038). The Company filed a prospectus supplement dated September 15, 2026, with the Securities and Exchange Commission in connection with the offer and sale of the Placement Shares.</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intends to use the net proceeds from the sale of the Placement Shares to fund working capital and general corporate purposes to support its future growth, which may include research and development, expansion of its commercial and business development activities, including in the aerospace and defense and infrastructure markets, capital expenditures, and general and administrative expenses.</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and subject to the conditions of the Sales Agreement, the Company will set the parameters for the sale of shares, including the number or dollar amount of Placement Shares to be issued, the time period during which sales are requested to be made, any limitation on the number or dollar amount of Placement Shares that may be sold in any one trading day and any minimum price below which sales may not be made. Sales of Placement Shares, if any, will be made by any method permitted by law deemed to be an “at-the-market offering” as defined in Rule 415 promulgated under the Securities Act of 1933, as amended, including sales made directly on or through The Nasdaq Capital Market, the trading market for the Company’s common stock, sales made to or through a market maker other than on an exchange or otherwise, in negotiated transactions at market prices, and/or any other method permitted by law. The Company is under no obligation to sell any Placement Shares under the Sales Agreement and may at any time suspend offers and sales of Placement Shares under the Sales Agreement.</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pay A.G.P. a cash commission rate up to 3.0% of the gross proceeds from the sale of Placement Shares sold pursuant to the Sales Agreement. The Company will also reimburse A.G.P. for certain specified expenses in connection with this offering, including reasonable out-of-pocket costs and expenses, including legal fees and related expenses, in an amount not to exceed (a) $50,000 in connection with the execution and implementation of the Sales Agreement and (b) up to $5,000 per due diligence update session thereafter pursuant to the terms of the Sales Agreement, not to exceed $15,000 per fiscal year, in connection with any periodic due diligence review conducted by A.G.P. or its representatives in connection with the offering. In connection with the offering, Craig-Hallum Capital Group LLC (“</w:t>
      </w:r>
      <w:r>
        <w:rPr>
          <w:rFonts w:ascii="Times New Roman;Times;Serif" w:hAnsi="Times New Roman;Times;Serif"/>
          <w:b w:val="false"/>
          <w:i w:val="false"/>
          <w:caps w:val="false"/>
          <w:smallCaps w:val="false"/>
          <w:sz w:val="20"/>
          <w:u w:val="single"/>
        </w:rPr>
        <w:t>Craig-Hallum</w:t>
      </w:r>
      <w:r>
        <w:rPr>
          <w:rFonts w:ascii="Times New Roman;Times;Serif" w:hAnsi="Times New Roman;Times;Serif"/>
          <w:b w:val="false"/>
          <w:i w:val="false"/>
          <w:caps w:val="false"/>
          <w:smallCaps w:val="false"/>
          <w:sz w:val="20"/>
        </w:rPr>
        <w:t>”) is acting as a financial advisor, for which the Company will pay Craig-Hallum advisory fees up to 1.0% of the gross proceeds from each sale of Placement Shares pursuant to the Sales Agreement.</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offering of the Placement Shares pursuant to the Sales Agreement will terminate upon the earliest of (i) the 36-month anniversary of the filing of the prospectus supplement registering the Placement Shares, (ii) the sale of all of the Placement Shares, or (iii) termination of the Sales Agreement as provided therein. The Company and A.G.P. may each terminate the Sales Agreement at any time upon 30 days’ prior notice.</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Sales Agreement is qualified in its entirety by reference to the full text of the Sales Agreement, a copy of which is attached hereto as Exhibit 1.1, and is incorporated herein in its entirety by reference. The representations, warranties, and covenants contained in the Sales Agreement are made only for purposes of such agreement and as of the specific date, are solely for the benefit of the parties to such agreement and may be subject to limitations agreed upon by the contracting parties. The legal opinion relating to the Placement Shares is filed as Exhibit 5.1 hereto.</w:t>
      </w:r>
    </w:p>
    <w:p>
      <w:pPr>
        <w:pStyle w:val="TextBody"/>
        <w:bidi w:val="0"/>
        <w:ind w:left="0" w:right="0" w:hanging="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This Current Report on Form 8-K shall not constitute an offer to sell or a solicitation of an offer to buy any shares of common stock in any state or jurisdiction in which such an offer, solicitation, or sale would be unlawful prior to registration or qualification under the securities laws of any such state or other jurisdiction.</w:t>
      </w:r>
    </w:p>
    <w:p>
      <w:pPr>
        <w:pStyle w:val="TextBody"/>
        <w:bidi w:val="0"/>
        <w:ind w:left="0" w:right="0" w:hanging="0"/>
        <w:jc w:val="left"/>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ind w:left="0" w:right="0" w:hanging="0"/>
        <w:jc w:val="both"/>
        <w:rPr>
          <w:caps w:val="false"/>
          <w:smallCaps w:val="false"/>
        </w:rPr>
      </w:pPr>
      <w:r>
        <w:rPr>
          <w:caps w:val="false"/>
          <w:smallCaps w:val="false"/>
        </w:rPr>
        <w:t> </w:t>
      </w:r>
    </w:p>
    <w:tbl>
      <w:tblPr>
        <w:tblW w:w="6018" w:type="dxa"/>
        <w:jc w:val="left"/>
        <w:tblInd w:w="0" w:type="dxa"/>
        <w:tblLayout w:type="fixed"/>
        <w:tblCellMar>
          <w:top w:w="0" w:type="dxa"/>
          <w:left w:w="0" w:type="dxa"/>
          <w:bottom w:w="0" w:type="dxa"/>
          <w:right w:w="0" w:type="dxa"/>
        </w:tblCellMar>
      </w:tblPr>
      <w:tblGrid>
        <w:gridCol w:w="38"/>
        <w:gridCol w:w="1025"/>
        <w:gridCol w:w="4955"/>
      </w:tblGrid>
      <w:tr>
        <w:trPr/>
        <w:tc>
          <w:tcPr>
            <w:tcW w:w="38"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b/>
              </w:rPr>
            </w:pPr>
            <w:r>
              <w:rPr>
                <w:b/>
              </w:rPr>
              <w:t>Item 1.02.</w:t>
            </w:r>
          </w:p>
        </w:tc>
        <w:tc>
          <w:tcPr>
            <w:tcW w:w="4955" w:type="dxa"/>
            <w:tcBorders/>
            <w:vAlign w:val="center"/>
          </w:tcPr>
          <w:p>
            <w:pPr>
              <w:pStyle w:val="TableContents"/>
              <w:bidi w:val="0"/>
              <w:spacing w:before="0" w:after="283"/>
              <w:jc w:val="both"/>
              <w:rPr>
                <w:b/>
              </w:rPr>
            </w:pPr>
            <w:r>
              <w:rPr>
                <w:b/>
              </w:rPr>
              <w:t>Termination of a Material Definitive Agreement.</w:t>
            </w:r>
          </w:p>
        </w:tc>
      </w:tr>
    </w:tbl>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15, 2026, in connection with its entry into the Sales Agreement described in Item 1.01 above, the Company and A.G.P. mutually agreed to terminate, effective upon the execution of the Sales Agreement, the At Market Issuance Sales Agreement, dated September 12, 2024, between the Company and A.G.P., as amended (the “Prior Sales Agreement”), pursuant to which the Company was entitled to offer and sell shares of its common stock from time to time through A.G.P., acting as sales agent. The Company did not incur any early termination penalties in connection with the termination of the Prior Sales Agreement.</w:t>
      </w:r>
    </w:p>
    <w:tbl>
      <w:tblPr>
        <w:tblW w:w="4533" w:type="dxa"/>
        <w:jc w:val="left"/>
        <w:tblInd w:w="0" w:type="dxa"/>
        <w:tblLayout w:type="fixed"/>
        <w:tblCellMar>
          <w:top w:w="0" w:type="dxa"/>
          <w:left w:w="0" w:type="dxa"/>
          <w:bottom w:w="0" w:type="dxa"/>
          <w:right w:w="0" w:type="dxa"/>
        </w:tblCellMar>
      </w:tblPr>
      <w:tblGrid>
        <w:gridCol w:w="38"/>
        <w:gridCol w:w="1025"/>
        <w:gridCol w:w="3470"/>
      </w:tblGrid>
      <w:tr>
        <w:trPr/>
        <w:tc>
          <w:tcPr>
            <w:tcW w:w="38"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b/>
              </w:rPr>
            </w:pPr>
            <w:r>
              <w:rPr>
                <w:b/>
              </w:rPr>
              <w:t>Item 9.01.</w:t>
            </w:r>
          </w:p>
        </w:tc>
        <w:tc>
          <w:tcPr>
            <w:tcW w:w="3470" w:type="dxa"/>
            <w:tcBorders/>
            <w:vAlign w:val="center"/>
          </w:tcPr>
          <w:p>
            <w:pPr>
              <w:pStyle w:val="TableContents"/>
              <w:bidi w:val="0"/>
              <w:spacing w:before="0" w:after="283"/>
              <w:jc w:val="both"/>
              <w:rPr>
                <w:b/>
              </w:rPr>
            </w:pPr>
            <w:r>
              <w:rPr>
                <w:b/>
              </w:rPr>
              <w:t>Financial Statement and Exhibits.</w:t>
            </w:r>
          </w:p>
        </w:tc>
      </w:tr>
    </w:tbl>
    <w:p>
      <w:pPr>
        <w:pStyle w:val="TextBody"/>
        <w:bidi w:val="0"/>
        <w:ind w:left="0" w:right="0" w:hanging="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312"/>
        <w:gridCol w:w="8818"/>
      </w:tblGrid>
      <w:tr>
        <w:trPr/>
        <w:tc>
          <w:tcPr>
            <w:tcW w:w="75" w:type="dxa"/>
            <w:tcBorders/>
            <w:vAlign w:val="center"/>
          </w:tcPr>
          <w:p>
            <w:pPr>
              <w:pStyle w:val="TableContents"/>
              <w:bidi w:val="0"/>
              <w:spacing w:before="0" w:after="283"/>
              <w:jc w:val="left"/>
              <w:rPr/>
            </w:pPr>
            <w:r>
              <w:rPr/>
              <w:t> </w:t>
            </w:r>
          </w:p>
        </w:tc>
        <w:tc>
          <w:tcPr>
            <w:tcW w:w="1312" w:type="dxa"/>
            <w:tcBorders/>
            <w:vAlign w:val="center"/>
          </w:tcPr>
          <w:p>
            <w:pPr>
              <w:pStyle w:val="TableContents"/>
              <w:bidi w:val="0"/>
              <w:spacing w:before="0" w:after="283"/>
              <w:jc w:val="left"/>
              <w:rPr>
                <w:u w:val="single"/>
              </w:rPr>
            </w:pPr>
            <w:r>
              <w:rPr>
                <w:u w:val="single"/>
              </w:rPr>
              <w:t>Exhibit Number</w:t>
            </w:r>
          </w:p>
        </w:tc>
        <w:tc>
          <w:tcPr>
            <w:tcW w:w="8818" w:type="dxa"/>
            <w:tcBorders/>
            <w:vAlign w:val="center"/>
          </w:tcPr>
          <w:p>
            <w:pPr>
              <w:pStyle w:val="TableContents"/>
              <w:bidi w:val="0"/>
              <w:spacing w:before="0" w:after="283"/>
              <w:jc w:val="left"/>
              <w:rPr>
                <w:u w:val="single"/>
              </w:rPr>
            </w:pPr>
            <w:r>
              <w:rPr>
                <w:u w:val="single"/>
              </w:rPr>
              <w:t>Description</w:t>
            </w:r>
          </w:p>
        </w:tc>
      </w:tr>
      <w:tr>
        <w:trPr/>
        <w:tc>
          <w:tcPr>
            <w:tcW w:w="75" w:type="dxa"/>
            <w:tcBorders/>
            <w:vAlign w:val="center"/>
          </w:tcPr>
          <w:p>
            <w:pPr>
              <w:pStyle w:val="TableContents"/>
              <w:bidi w:val="0"/>
              <w:spacing w:before="0" w:after="283"/>
              <w:jc w:val="left"/>
              <w:rPr/>
            </w:pPr>
            <w:r>
              <w:rPr/>
              <w:t> </w:t>
            </w:r>
          </w:p>
        </w:tc>
        <w:tc>
          <w:tcPr>
            <w:tcW w:w="1312" w:type="dxa"/>
            <w:tcBorders/>
            <w:vAlign w:val="center"/>
          </w:tcPr>
          <w:p>
            <w:pPr>
              <w:pStyle w:val="TableContents"/>
              <w:bidi w:val="0"/>
              <w:spacing w:before="0" w:after="283"/>
              <w:jc w:val="left"/>
              <w:rPr/>
            </w:pPr>
            <w:r>
              <w:rPr/>
              <w:t> </w:t>
            </w:r>
          </w:p>
        </w:tc>
        <w:tc>
          <w:tcPr>
            <w:tcW w:w="8818"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pPr>
            <w:r>
              <w:rPr/>
              <w:t>1.1</w:t>
            </w:r>
          </w:p>
        </w:tc>
        <w:tc>
          <w:tcPr>
            <w:tcW w:w="8818" w:type="dxa"/>
            <w:tcBorders/>
            <w:vAlign w:val="center"/>
          </w:tcPr>
          <w:p>
            <w:pPr>
              <w:pStyle w:val="TableContents"/>
              <w:bidi w:val="0"/>
              <w:spacing w:before="0" w:after="283"/>
              <w:jc w:val="left"/>
              <w:rPr/>
            </w:pPr>
            <w:hyperlink w:anchor="ss6825285_ex0101.htm">
              <w:r>
                <w:rPr>
                  <w:rStyle w:val="InternetLink"/>
                </w:rPr>
                <w:t>At Market Issuance Sales Agreement by and between AEye, Inc. and A.G.P./Alliance Global Partners, dated September 15, 2026.</w:t>
              </w:r>
            </w:hyperlink>
          </w:p>
        </w:tc>
      </w:tr>
    </w:tbl>
    <w:p>
      <w:pPr>
        <w:pStyle w:val="TextBody"/>
        <w:bidi w:val="0"/>
        <w:ind w:left="2880" w:right="0" w:hanging="2160"/>
        <w:jc w:val="left"/>
        <w:rPr>
          <w:caps w:val="false"/>
          <w:smallCaps w:val="false"/>
        </w:rPr>
      </w:pPr>
      <w:r>
        <w:rPr>
          <w:caps w:val="false"/>
          <w:smallCaps w:val="false"/>
        </w:rPr>
        <w:t> </w:t>
      </w:r>
    </w:p>
    <w:tbl>
      <w:tblPr>
        <w:tblW w:w="5403" w:type="dxa"/>
        <w:jc w:val="left"/>
        <w:tblInd w:w="0" w:type="dxa"/>
        <w:tblLayout w:type="fixed"/>
        <w:tblCellMar>
          <w:top w:w="0" w:type="dxa"/>
          <w:left w:w="0" w:type="dxa"/>
          <w:bottom w:w="0" w:type="dxa"/>
          <w:right w:w="0" w:type="dxa"/>
        </w:tblCellMar>
      </w:tblPr>
      <w:tblGrid>
        <w:gridCol w:w="38"/>
        <w:gridCol w:w="320"/>
        <w:gridCol w:w="5045"/>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5.1</w:t>
            </w:r>
          </w:p>
        </w:tc>
        <w:tc>
          <w:tcPr>
            <w:tcW w:w="5045" w:type="dxa"/>
            <w:tcBorders/>
            <w:vAlign w:val="center"/>
          </w:tcPr>
          <w:p>
            <w:pPr>
              <w:pStyle w:val="TableContents"/>
              <w:bidi w:val="0"/>
              <w:spacing w:before="0" w:after="283"/>
              <w:jc w:val="left"/>
              <w:rPr/>
            </w:pPr>
            <w:hyperlink w:anchor="ss6825285_ex0501.htm">
              <w:r>
                <w:rPr>
                  <w:rStyle w:val="InternetLink"/>
                </w:rPr>
                <w:t>Opinion of Allen Overy Shearman Sterling US LLP.</w:t>
              </w:r>
            </w:hyperlink>
          </w:p>
        </w:tc>
      </w:tr>
    </w:tbl>
    <w:p>
      <w:pPr>
        <w:pStyle w:val="TextBody"/>
        <w:bidi w:val="0"/>
        <w:ind w:left="0" w:right="0" w:hanging="0"/>
        <w:jc w:val="left"/>
        <w:rPr>
          <w:caps w:val="false"/>
          <w:smallCaps w:val="false"/>
        </w:rPr>
      </w:pPr>
      <w:r>
        <w:rPr>
          <w:caps w:val="false"/>
          <w:smallCaps w:val="false"/>
        </w:rPr>
        <w:t> </w:t>
      </w:r>
    </w:p>
    <w:tbl>
      <w:tblPr>
        <w:tblW w:w="7893" w:type="dxa"/>
        <w:jc w:val="left"/>
        <w:tblInd w:w="0" w:type="dxa"/>
        <w:tblLayout w:type="fixed"/>
        <w:tblCellMar>
          <w:top w:w="0" w:type="dxa"/>
          <w:left w:w="0" w:type="dxa"/>
          <w:bottom w:w="0" w:type="dxa"/>
          <w:right w:w="0" w:type="dxa"/>
        </w:tblCellMar>
      </w:tblPr>
      <w:tblGrid>
        <w:gridCol w:w="38"/>
        <w:gridCol w:w="440"/>
        <w:gridCol w:w="7415"/>
      </w:tblGrid>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23.1</w:t>
            </w:r>
          </w:p>
        </w:tc>
        <w:tc>
          <w:tcPr>
            <w:tcW w:w="7415" w:type="dxa"/>
            <w:tcBorders/>
            <w:vAlign w:val="center"/>
          </w:tcPr>
          <w:p>
            <w:pPr>
              <w:pStyle w:val="TableContents"/>
              <w:bidi w:val="0"/>
              <w:spacing w:before="0" w:after="283"/>
              <w:jc w:val="left"/>
              <w:rPr/>
            </w:pPr>
            <w:hyperlink w:anchor="ss6825285_ex0501.htm">
              <w:r>
                <w:rPr>
                  <w:rStyle w:val="InternetLink"/>
                </w:rPr>
                <w:t>Consent of Allen Overy Shearman Sterling US LLP (included in Exhibit 5.1).</w:t>
              </w:r>
            </w:hyperlink>
          </w:p>
        </w:tc>
      </w:tr>
    </w:tbl>
    <w:p>
      <w:pPr>
        <w:pStyle w:val="TextBody"/>
        <w:bidi w:val="0"/>
        <w:ind w:left="2880" w:right="0" w:hanging="2160"/>
        <w:jc w:val="left"/>
        <w:rPr>
          <w:caps w:val="false"/>
          <w:smallCaps w:val="false"/>
        </w:rPr>
      </w:pPr>
      <w:r>
        <w:rPr>
          <w:caps w:val="false"/>
          <w:smallCaps w:val="false"/>
        </w:rPr>
        <w:t> </w:t>
      </w:r>
    </w:p>
    <w:tbl>
      <w:tblPr>
        <w:tblW w:w="9078" w:type="dxa"/>
        <w:jc w:val="left"/>
        <w:tblInd w:w="0" w:type="dxa"/>
        <w:tblLayout w:type="fixed"/>
        <w:tblCellMar>
          <w:top w:w="0" w:type="dxa"/>
          <w:left w:w="0" w:type="dxa"/>
          <w:bottom w:w="0" w:type="dxa"/>
          <w:right w:w="0" w:type="dxa"/>
        </w:tblCellMar>
      </w:tblPr>
      <w:tblGrid>
        <w:gridCol w:w="38"/>
        <w:gridCol w:w="380"/>
        <w:gridCol w:w="8660"/>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pPr>
            <w:r>
              <w:rPr/>
              <w:t>104</w:t>
            </w:r>
          </w:p>
        </w:tc>
        <w:tc>
          <w:tcPr>
            <w:tcW w:w="8660" w:type="dxa"/>
            <w:tcBorders/>
            <w:vAlign w:val="center"/>
          </w:tcPr>
          <w:p>
            <w:pPr>
              <w:pStyle w:val="TableContents"/>
              <w:bidi w:val="0"/>
              <w:spacing w:before="0" w:after="283"/>
              <w:jc w:val="left"/>
              <w:rPr/>
            </w:pPr>
            <w:r>
              <w:rPr/>
              <w:t>Cover Page Interactive Data File (formatted as Inline XBRL and contained in Exhibit 101).</w:t>
            </w:r>
          </w:p>
        </w:tc>
      </w:tr>
    </w:tbl>
    <w:p>
      <w:pPr>
        <w:pStyle w:val="TextBody"/>
        <w:bidi w:val="0"/>
        <w:spacing w:before="0" w:after="240"/>
        <w:ind w:left="0" w:right="0" w:firstLine="720"/>
        <w:jc w:val="both"/>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lineRule="auto" w:line="276" w:before="0" w:after="200"/>
        <w:ind w:left="0" w:right="0" w:firstLine="72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240"/>
        <w:ind w:left="0" w:right="0" w:firstLine="50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tbl>
      <w:tblPr>
        <w:tblW w:w="7485" w:type="dxa"/>
        <w:jc w:val="left"/>
        <w:tblInd w:w="0" w:type="dxa"/>
        <w:tblLayout w:type="fixed"/>
        <w:tblCellMar>
          <w:top w:w="0" w:type="dxa"/>
          <w:left w:w="0" w:type="dxa"/>
          <w:bottom w:w="0" w:type="dxa"/>
          <w:right w:w="0" w:type="dxa"/>
        </w:tblCellMar>
      </w:tblPr>
      <w:tblGrid>
        <w:gridCol w:w="2240"/>
        <w:gridCol w:w="60"/>
        <w:gridCol w:w="545"/>
        <w:gridCol w:w="4640"/>
      </w:tblGrid>
      <w:tr>
        <w:trPr/>
        <w:tc>
          <w:tcPr>
            <w:tcW w:w="22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85" w:type="dxa"/>
            <w:gridSpan w:val="2"/>
            <w:tcBorders/>
            <w:vAlign w:val="center"/>
          </w:tcPr>
          <w:p>
            <w:pPr>
              <w:pStyle w:val="TableContents"/>
              <w:bidi w:val="0"/>
              <w:spacing w:before="0" w:after="283"/>
              <w:jc w:val="left"/>
              <w:rPr>
                <w:b/>
                <w:sz w:val="20"/>
              </w:rPr>
            </w:pPr>
            <w:r>
              <w:rPr>
                <w:b/>
                <w:sz w:val="20"/>
              </w:rPr>
              <w:t>AEye, Inc.</w:t>
            </w:r>
          </w:p>
        </w:tc>
      </w:tr>
      <w:tr>
        <w:trPr/>
        <w:tc>
          <w:tcPr>
            <w:tcW w:w="22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85" w:type="dxa"/>
            <w:gridSpan w:val="2"/>
            <w:tcBorders/>
            <w:vAlign w:val="center"/>
          </w:tcPr>
          <w:p>
            <w:pPr>
              <w:pStyle w:val="TableContents"/>
              <w:bidi w:val="0"/>
              <w:spacing w:before="0" w:after="283"/>
              <w:jc w:val="left"/>
              <w:rPr/>
            </w:pPr>
            <w:r>
              <w:rPr/>
              <w:t> </w:t>
            </w:r>
          </w:p>
        </w:tc>
      </w:tr>
      <w:tr>
        <w:trPr/>
        <w:tc>
          <w:tcPr>
            <w:tcW w:w="2240" w:type="dxa"/>
            <w:tcBorders/>
            <w:vAlign w:val="center"/>
          </w:tcPr>
          <w:p>
            <w:pPr>
              <w:pStyle w:val="TableContents"/>
              <w:bidi w:val="0"/>
              <w:spacing w:before="0" w:after="283"/>
              <w:jc w:val="left"/>
              <w:rPr>
                <w:sz w:val="20"/>
              </w:rPr>
            </w:pPr>
            <w:r>
              <w:rPr>
                <w:sz w:val="20"/>
              </w:rPr>
              <w:t>Dated: September 15, 2026</w:t>
            </w:r>
          </w:p>
        </w:tc>
        <w:tc>
          <w:tcPr>
            <w:tcW w:w="60" w:type="dxa"/>
            <w:tcBorders/>
            <w:vAlign w:val="center"/>
          </w:tcPr>
          <w:p>
            <w:pPr>
              <w:pStyle w:val="TableContents"/>
              <w:bidi w:val="0"/>
              <w:spacing w:before="0" w:after="283"/>
              <w:jc w:val="left"/>
              <w:rPr/>
            </w:pPr>
            <w:r>
              <w:rPr/>
              <w:t> </w:t>
            </w:r>
          </w:p>
        </w:tc>
        <w:tc>
          <w:tcPr>
            <w:tcW w:w="5185" w:type="dxa"/>
            <w:gridSpan w:val="2"/>
            <w:tcBorders/>
            <w:vAlign w:val="center"/>
          </w:tcPr>
          <w:p>
            <w:pPr>
              <w:pStyle w:val="TableContents"/>
              <w:bidi w:val="0"/>
              <w:spacing w:before="0" w:after="283"/>
              <w:jc w:val="left"/>
              <w:rPr/>
            </w:pPr>
            <w:r>
              <w:rPr/>
              <w:t> </w:t>
            </w:r>
          </w:p>
        </w:tc>
      </w:tr>
      <w:tr>
        <w:trPr/>
        <w:tc>
          <w:tcPr>
            <w:tcW w:w="22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By:</w:t>
            </w:r>
          </w:p>
        </w:tc>
        <w:tc>
          <w:tcPr>
            <w:tcW w:w="4640" w:type="dxa"/>
            <w:tcBorders>
              <w:bottom w:val="single" w:sz="8" w:space="0" w:color="000000"/>
            </w:tcBorders>
            <w:tcMar>
              <w:bottom w:w="28" w:type="dxa"/>
            </w:tcMar>
            <w:vAlign w:val="center"/>
          </w:tcPr>
          <w:p>
            <w:pPr>
              <w:pStyle w:val="TableContents"/>
              <w:bidi w:val="0"/>
              <w:spacing w:before="0" w:after="283"/>
              <w:jc w:val="left"/>
              <w:rPr>
                <w:sz w:val="20"/>
              </w:rPr>
            </w:pPr>
            <w:r>
              <w:rPr>
                <w:sz w:val="20"/>
              </w:rPr>
              <w:t xml:space="preserve">/s/ </w:t>
            </w:r>
            <w:r>
              <w:rPr>
                <w:i/>
                <w:sz w:val="20"/>
              </w:rPr>
              <w:t>Siraj Husain</w:t>
            </w:r>
          </w:p>
        </w:tc>
      </w:tr>
      <w:tr>
        <w:trPr/>
        <w:tc>
          <w:tcPr>
            <w:tcW w:w="22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Name:</w:t>
            </w:r>
          </w:p>
        </w:tc>
        <w:tc>
          <w:tcPr>
            <w:tcW w:w="4640" w:type="dxa"/>
            <w:tcBorders/>
            <w:vAlign w:val="center"/>
          </w:tcPr>
          <w:p>
            <w:pPr>
              <w:pStyle w:val="TableContents"/>
              <w:bidi w:val="0"/>
              <w:spacing w:before="0" w:after="283"/>
              <w:jc w:val="left"/>
              <w:rPr>
                <w:sz w:val="20"/>
              </w:rPr>
            </w:pPr>
            <w:r>
              <w:rPr>
                <w:sz w:val="20"/>
              </w:rPr>
              <w:t>Siraj Husain</w:t>
            </w:r>
          </w:p>
        </w:tc>
      </w:tr>
      <w:tr>
        <w:trPr/>
        <w:tc>
          <w:tcPr>
            <w:tcW w:w="22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Title:</w:t>
            </w:r>
          </w:p>
        </w:tc>
        <w:tc>
          <w:tcPr>
            <w:tcW w:w="4640" w:type="dxa"/>
            <w:tcBorders/>
            <w:vAlign w:val="center"/>
          </w:tcPr>
          <w:p>
            <w:pPr>
              <w:pStyle w:val="TableContents"/>
              <w:bidi w:val="0"/>
              <w:spacing w:before="0" w:after="283"/>
              <w:jc w:val="left"/>
              <w:rPr>
                <w:sz w:val="20"/>
              </w:rPr>
            </w:pPr>
            <w:r>
              <w:rPr>
                <w:sz w:val="20"/>
              </w:rPr>
              <w:t>Vice President, General Counsel and Corporate Secretary</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right"/>
        <w:rPr>
          <w:rFonts w:ascii="Times New Roman;Times;Serif" w:hAnsi="Times New Roman;Times;Serif"/>
          <w:b/>
          <w:i w:val="false"/>
          <w:caps w:val="false"/>
          <w:smallCaps w:val="false"/>
          <w:sz w:val="24"/>
        </w:rPr>
      </w:pPr>
      <w:bookmarkStart w:id="23" w:name="ss6825285_ex0101.htm"/>
      <w:bookmarkStart w:id="24" w:name="ksss6825285_ex0101"/>
      <w:bookmarkEnd w:id="23"/>
      <w:bookmarkEnd w:id="24"/>
      <w:r>
        <w:rPr>
          <w:rFonts w:ascii="Times New Roman;Times;Serif" w:hAnsi="Times New Roman;Times;Serif"/>
          <w:b/>
          <w:i w:val="false"/>
          <w:caps w:val="false"/>
          <w:smallCaps w:val="false"/>
          <w:sz w:val="24"/>
        </w:rPr>
        <w:t>Exhibit 1.1</w:t>
      </w:r>
      <w:r>
        <w:br w:type="page"/>
      </w:r>
    </w:p>
    <w:p>
      <w:pPr>
        <w:pStyle w:val="TextBody"/>
        <w:bidi w:val="0"/>
        <w:spacing w:before="0" w:after="283"/>
        <w:jc w:val="left"/>
        <w:rPr/>
      </w:pPr>
      <w:r>
        <w:rPr/>
        <w:t> </w:t>
      </w:r>
    </w:p>
    <w:p>
      <w:pPr>
        <w:pStyle w:val="TextBody"/>
        <w:bidi w:val="0"/>
        <w:jc w:val="right"/>
        <w:rPr>
          <w:caps w:val="false"/>
          <w:smallCaps w:val="false"/>
        </w:rPr>
      </w:pPr>
      <w:r>
        <w:rPr>
          <w:caps w:val="false"/>
          <w:smallCaps w:val="false"/>
        </w:rPr>
        <w:t> </w:t>
      </w:r>
    </w:p>
    <w:p>
      <w:pPr>
        <w:pStyle w:val="TextBody"/>
        <w:bidi w:val="0"/>
        <w:jc w:val="righ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AEYE, INC.</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 value $0.0001 per share)</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At Market Issuance Sales Agreement</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15, 2026</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A.G.P./Alliance Global Partners</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590 Madison Avenue, 28th Floor</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10022</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jc w:val="left"/>
        <w:rPr>
          <w:caps w:val="false"/>
          <w:smallCaps w:val="false"/>
        </w:rPr>
      </w:pPr>
      <w:r>
        <w:rPr>
          <w:caps w:val="false"/>
          <w:smallCaps w:val="false"/>
        </w:rPr>
        <w:t> </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AEye, Inc., a Delaware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confirms its agreement (this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with A.G.P./Alliance Global Partners (“</w:t>
      </w:r>
      <w:r>
        <w:rPr>
          <w:rFonts w:ascii="Times New Roman;Times;Serif" w:hAnsi="Times New Roman;Times;Serif"/>
          <w:b w:val="false"/>
          <w:i w:val="false"/>
          <w:caps w:val="false"/>
          <w:smallCaps w:val="false"/>
          <w:sz w:val="20"/>
          <w:u w:val="single"/>
        </w:rPr>
        <w:t>A.G.P.</w:t>
      </w:r>
      <w:r>
        <w:rPr>
          <w:rFonts w:ascii="Times New Roman;Times;Serif" w:hAnsi="Times New Roman;Times;Serif"/>
          <w:b w:val="false"/>
          <w:i w:val="false"/>
          <w:caps w:val="false"/>
          <w:smallCaps w:val="false"/>
          <w:sz w:val="20"/>
        </w:rPr>
        <w:t>”) as follows:</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Issuance and Sale of Shares</w:t>
      </w:r>
      <w:r>
        <w:rPr>
          <w:rFonts w:ascii="Times New Roman;Times;Serif" w:hAnsi="Times New Roman;Times;Serif"/>
          <w:b w:val="false"/>
          <w:i w:val="false"/>
          <w:caps w:val="false"/>
          <w:smallCaps w:val="false"/>
          <w:sz w:val="20"/>
        </w:rPr>
        <w:t>. The Company agrees that, from time to time during the term of this Agreement, on the terms and subject to the conditions set forth herein, it may issue and sell through A.G.P., shares (the “</w:t>
      </w:r>
      <w:r>
        <w:rPr>
          <w:rFonts w:ascii="Times New Roman;Times;Serif" w:hAnsi="Times New Roman;Times;Serif"/>
          <w:b w:val="false"/>
          <w:i w:val="false"/>
          <w:caps w:val="false"/>
          <w:smallCaps w:val="false"/>
          <w:sz w:val="20"/>
          <w:u w:val="single"/>
        </w:rPr>
        <w:t>Placement Shares</w:t>
      </w:r>
      <w:r>
        <w:rPr>
          <w:rFonts w:ascii="Times New Roman;Times;Serif" w:hAnsi="Times New Roman;Times;Serif"/>
          <w:b w:val="false"/>
          <w:i w:val="false"/>
          <w:caps w:val="false"/>
          <w:smallCaps w:val="false"/>
          <w:sz w:val="20"/>
        </w:rPr>
        <w:t>”) of the Company’s common stock, par value $0.0001 per share (the “</w:t>
      </w:r>
      <w:r>
        <w:rPr>
          <w:rFonts w:ascii="Times New Roman;Times;Serif" w:hAnsi="Times New Roman;Times;Serif"/>
          <w:b w:val="false"/>
          <w:i w:val="false"/>
          <w:caps w:val="false"/>
          <w:smallCaps w:val="false"/>
          <w:sz w:val="20"/>
          <w:u w:val="single"/>
        </w:rPr>
        <w:t>Common Stock</w:t>
      </w:r>
      <w:r>
        <w:rPr>
          <w:rFonts w:ascii="Times New Roman;Times;Serif" w:hAnsi="Times New Roman;Times;Serif"/>
          <w:b w:val="false"/>
          <w:i w:val="false"/>
          <w:caps w:val="false"/>
          <w:smallCaps w:val="false"/>
          <w:sz w:val="20"/>
        </w:rPr>
        <w:t>”); provided however, that in no event shall the Company issue or sell through A.G.P. such number or dollar amount of Placement Shares that would (a) exceed the number or dollar amount of shares of Common Stock registered on the Prospectus Supplement (as defined below) pursuant to which the offering is being made or (b), when issued, exceed the total amount of authorized shares of Common Stock (accounting for the number of shares of Common Stock issuable upon exercise, conversion or exchange of any outstanding securities of the Company or otherwise reserved from the Company’s authorized capital stock) (the least of (a) and (b), the “</w:t>
      </w:r>
      <w:r>
        <w:rPr>
          <w:rFonts w:ascii="Times New Roman;Times;Serif" w:hAnsi="Times New Roman;Times;Serif"/>
          <w:b w:val="false"/>
          <w:i w:val="false"/>
          <w:caps w:val="false"/>
          <w:smallCaps w:val="false"/>
          <w:sz w:val="20"/>
          <w:u w:val="single"/>
        </w:rPr>
        <w:t>Maximum Amount</w:t>
      </w:r>
      <w:r>
        <w:rPr>
          <w:rFonts w:ascii="Times New Roman;Times;Serif" w:hAnsi="Times New Roman;Times;Serif"/>
          <w:b w:val="false"/>
          <w:i w:val="false"/>
          <w:caps w:val="false"/>
          <w:smallCaps w:val="false"/>
          <w:sz w:val="20"/>
        </w:rPr>
        <w:t xml:space="preserve">”). Notwithstanding anything to the contrary contained herein, the parties hereto agree that compliance with the limitations set forth in this </w:t>
      </w:r>
      <w:r>
        <w:rPr>
          <w:rFonts w:ascii="Times New Roman;Times;Serif" w:hAnsi="Times New Roman;Times;Serif"/>
          <w:b w:val="false"/>
          <w:i w:val="false"/>
          <w:caps w:val="false"/>
          <w:smallCaps w:val="false"/>
          <w:sz w:val="20"/>
          <w:u w:val="single"/>
        </w:rPr>
        <w:t>Section 1</w:t>
      </w:r>
      <w:r>
        <w:rPr>
          <w:rFonts w:ascii="Times New Roman;Times;Serif" w:hAnsi="Times New Roman;Times;Serif"/>
          <w:b w:val="false"/>
          <w:i w:val="false"/>
          <w:caps w:val="false"/>
          <w:smallCaps w:val="false"/>
          <w:sz w:val="20"/>
        </w:rPr>
        <w:t xml:space="preserve"> on the number or aggregate sales price of Placement Shares issued and sold under this Agreement shall be the sole responsibility of the Company and that A.G.P. shall have no obligation in connection with such compliance. The issuance and sale of Placement Shares through A.G.P. will be effected pursuant to the Registration Statement (as defined below), although nothing in this Agreement shall be construed as requiring the Company to use the Registration Statement to issue any Placement Shares.</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filed, in accordance with the provisions of the Securities Act of 1933, as amended and the rules and regulations thereunder (the “</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with the Securities and Exchange Commission (the “</w:t>
      </w:r>
      <w:r>
        <w:rPr>
          <w:rFonts w:ascii="Times New Roman;Times;Serif" w:hAnsi="Times New Roman;Times;Serif"/>
          <w:b w:val="false"/>
          <w:i w:val="false"/>
          <w:caps w:val="false"/>
          <w:smallCaps w:val="false"/>
          <w:sz w:val="20"/>
          <w:u w:val="single"/>
        </w:rPr>
        <w:t>Commission</w:t>
      </w:r>
      <w:r>
        <w:rPr>
          <w:rFonts w:ascii="Times New Roman;Times;Serif" w:hAnsi="Times New Roman;Times;Serif"/>
          <w:b w:val="false"/>
          <w:i w:val="false"/>
          <w:caps w:val="false"/>
          <w:smallCaps w:val="false"/>
          <w:sz w:val="20"/>
        </w:rPr>
        <w:t>”), a registration statement on Form S-3, as amended (File No. 333-296038), including a base prospectus, relating to certain securities including the Placement Shares to be issued from time to time by the Company, and which incorporates by reference documents that the Company has filed or will file in accordance with the provisions of the Securities Exchange Act of 1934, as amended and the rules and regulations thereunder (the “</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prepared a prospectus supplement to the base prospectus included as part of such registration statement specifically relating to the Placement Shares (the “</w:t>
      </w:r>
      <w:r>
        <w:rPr>
          <w:rFonts w:ascii="Times New Roman;Times;Serif" w:hAnsi="Times New Roman;Times;Serif"/>
          <w:b w:val="false"/>
          <w:i w:val="false"/>
          <w:caps w:val="false"/>
          <w:smallCaps w:val="false"/>
          <w:sz w:val="20"/>
          <w:u w:val="single"/>
        </w:rPr>
        <w:t>Prospectus Supplement</w:t>
      </w:r>
      <w:r>
        <w:rPr>
          <w:rFonts w:ascii="Times New Roman;Times;Serif" w:hAnsi="Times New Roman;Times;Serif"/>
          <w:b w:val="false"/>
          <w:i w:val="false"/>
          <w:caps w:val="false"/>
          <w:smallCaps w:val="false"/>
          <w:sz w:val="20"/>
        </w:rPr>
        <w:t>”). The Company will furnish to A.G.P., for use by A.G.P., copies of the base prospectus included as part of such registration statement, as supplemented by the Prospectus Supplement, relating to the Placement Shares. Except where the context otherwise requires, such registration statement, and any post-effective amendment thereto, including all documents filed as part thereof or incorporated by reference therein, and including any information contained in a Prospectus (as defined below) subsequently filed with the Commission pursuant to Rule 424(b) under the Securities Act or deemed to be a part of such registration statement pursuant to Rule 430B of the Securities Act, is herein called the “</w:t>
      </w:r>
      <w:r>
        <w:rPr>
          <w:rFonts w:ascii="Times New Roman;Times;Serif" w:hAnsi="Times New Roman;Times;Serif"/>
          <w:b w:val="false"/>
          <w:i w:val="false"/>
          <w:caps w:val="false"/>
          <w:smallCaps w:val="false"/>
          <w:sz w:val="20"/>
          <w:u w:val="single"/>
        </w:rPr>
        <w:t>Registration Statement</w:t>
      </w:r>
      <w:r>
        <w:rPr>
          <w:rFonts w:ascii="Times New Roman;Times;Serif" w:hAnsi="Times New Roman;Times;Serif"/>
          <w:b w:val="false"/>
          <w:i w:val="false"/>
          <w:caps w:val="false"/>
          <w:smallCaps w:val="false"/>
          <w:sz w:val="20"/>
        </w:rPr>
        <w:t>.” The base prospectus, including all documents incorporated or deemed incorporated therein by reference to the extent such information has not been superseded or modified in accordance with Rule 412 under the Securities Act (as qualified by Rule 430B(g) of the Securities Act), included in the Registration Statement, as it may be supplemented by the Prospectus Supplement, in the form in which such base</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prospectus and/or Prospectus Supplement have most recently been filed by the Company with the Commission pursuant to Rule 424(b) under the Securities Act is herein called the “</w:t>
      </w:r>
      <w:r>
        <w:rPr>
          <w:rFonts w:ascii="Times New Roman;Times;Serif" w:hAnsi="Times New Roman;Times;Serif"/>
          <w:b w:val="false"/>
          <w:i w:val="false"/>
          <w:caps w:val="false"/>
          <w:smallCaps w:val="false"/>
          <w:sz w:val="20"/>
          <w:u w:val="single"/>
        </w:rPr>
        <w:t>Prospectus</w:t>
      </w:r>
      <w:r>
        <w:rPr>
          <w:rFonts w:ascii="Times New Roman;Times;Serif" w:hAnsi="Times New Roman;Times;Serif"/>
          <w:b w:val="false"/>
          <w:i w:val="false"/>
          <w:caps w:val="false"/>
          <w:smallCaps w:val="false"/>
          <w:sz w:val="20"/>
        </w:rPr>
        <w:t>.” Any reference herein to the Registration Statement, the Prospectus or any amendment or supplement thereto shall be deemed to refer to and include the documents incorporated or deemed incorporated by reference therein, and any reference herein to the terms “amend,” “amendment” or “supplement” with respect to the Registration Statement or the Prospectus shall be deemed to refer to and include the filing after the execution hereof of any document with the Commission incorporated or deemed incorporated by reference therein (the “</w:t>
      </w:r>
      <w:r>
        <w:rPr>
          <w:rFonts w:ascii="Times New Roman;Times;Serif" w:hAnsi="Times New Roman;Times;Serif"/>
          <w:b w:val="false"/>
          <w:i w:val="false"/>
          <w:caps w:val="false"/>
          <w:smallCaps w:val="false"/>
          <w:sz w:val="20"/>
          <w:u w:val="single"/>
        </w:rPr>
        <w:t>Incorporated Documents</w:t>
      </w:r>
      <w:r>
        <w:rPr>
          <w:rFonts w:ascii="Times New Roman;Times;Serif" w:hAnsi="Times New Roman;Times;Serif"/>
          <w:b w:val="false"/>
          <w:i w:val="false"/>
          <w:caps w:val="false"/>
          <w:smallCaps w:val="false"/>
          <w:sz w:val="20"/>
        </w:rPr>
        <w:t>”).</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Agreement, all references to the Registration Statement, the Prospectus or to any amendment or supplement thereto shall be deemed to include the most recent copy filed with the Commission pursuant to its Electronic Data Gathering Analysis and Retrieval System, or if applicable, the Interactive Data Electronic Application system when used by the Commission (collectively, “</w:t>
      </w:r>
      <w:r>
        <w:rPr>
          <w:rFonts w:ascii="Times New Roman;Times;Serif" w:hAnsi="Times New Roman;Times;Serif"/>
          <w:b w:val="false"/>
          <w:i w:val="false"/>
          <w:caps w:val="false"/>
          <w:smallCaps w:val="false"/>
          <w:sz w:val="20"/>
          <w:u w:val="single"/>
        </w:rPr>
        <w:t>EDGAR</w:t>
      </w:r>
      <w:r>
        <w:rPr>
          <w:rFonts w:ascii="Times New Roman;Times;Serif" w:hAnsi="Times New Roman;Times;Serif"/>
          <w:b w:val="false"/>
          <w:i w:val="false"/>
          <w:caps w:val="false"/>
          <w:smallCaps w:val="false"/>
          <w:sz w:val="20"/>
        </w:rPr>
        <w:t>”). The Company’s obligations under this Agreement to furnish, provide, deliver or make available (and all other references of like import) copies of any report or statement shall be deemed satisfied if the same is filed with the Commission through EDGAR.</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Placements</w:t>
      </w:r>
      <w:r>
        <w:rPr>
          <w:rFonts w:ascii="Times New Roman;Times;Serif" w:hAnsi="Times New Roman;Times;Serif"/>
          <w:b w:val="false"/>
          <w:i w:val="false"/>
          <w:caps w:val="false"/>
          <w:smallCaps w:val="false"/>
          <w:sz w:val="20"/>
        </w:rPr>
        <w:t>. Each time that the Company wishes to issue and sell Placement Shares hereunder (each, a “</w:t>
      </w:r>
      <w:r>
        <w:rPr>
          <w:rFonts w:ascii="Times New Roman;Times;Serif" w:hAnsi="Times New Roman;Times;Serif"/>
          <w:b w:val="false"/>
          <w:i w:val="false"/>
          <w:caps w:val="false"/>
          <w:smallCaps w:val="false"/>
          <w:sz w:val="20"/>
          <w:u w:val="single"/>
        </w:rPr>
        <w:t>Placement</w:t>
      </w:r>
      <w:r>
        <w:rPr>
          <w:rFonts w:ascii="Times New Roman;Times;Serif" w:hAnsi="Times New Roman;Times;Serif"/>
          <w:b w:val="false"/>
          <w:i w:val="false"/>
          <w:caps w:val="false"/>
          <w:smallCaps w:val="false"/>
          <w:sz w:val="20"/>
        </w:rPr>
        <w:t>”), it will notify A.G.P. by email notice (or other method mutually agreed to in writing by the parties hereto) of the number or dollar amount of Placement Shares to be issued, the time period during which sales are requested to be made, any limitation on the number or dollar amount of Placement Shares that may be sold in any one Trading Day (as defined below) and any minimum price below which sales may not be made (a “</w:t>
      </w:r>
      <w:r>
        <w:rPr>
          <w:rFonts w:ascii="Times New Roman;Times;Serif" w:hAnsi="Times New Roman;Times;Serif"/>
          <w:b w:val="false"/>
          <w:i w:val="false"/>
          <w:caps w:val="false"/>
          <w:smallCaps w:val="false"/>
          <w:sz w:val="20"/>
          <w:u w:val="single"/>
        </w:rPr>
        <w:t>Placement Notice</w:t>
      </w:r>
      <w:r>
        <w:rPr>
          <w:rFonts w:ascii="Times New Roman;Times;Serif" w:hAnsi="Times New Roman;Times;Serif"/>
          <w:b w:val="false"/>
          <w:i w:val="false"/>
          <w:caps w:val="false"/>
          <w:smallCaps w:val="false"/>
          <w:sz w:val="20"/>
        </w:rPr>
        <w:t xml:space="preserve">”), the form of which is attached hereto as </w:t>
      </w:r>
      <w:r>
        <w:rPr>
          <w:rFonts w:ascii="Times New Roman;Times;Serif" w:hAnsi="Times New Roman;Times;Serif"/>
          <w:b w:val="false"/>
          <w:i w:val="false"/>
          <w:caps w:val="false"/>
          <w:smallCaps w:val="false"/>
          <w:sz w:val="20"/>
          <w:u w:val="single"/>
        </w:rPr>
        <w:t>Schedule 1</w:t>
      </w:r>
      <w:r>
        <w:rPr>
          <w:rFonts w:ascii="Times New Roman;Times;Serif" w:hAnsi="Times New Roman;Times;Serif"/>
          <w:b w:val="false"/>
          <w:i w:val="false"/>
          <w:caps w:val="false"/>
          <w:smallCaps w:val="false"/>
          <w:sz w:val="20"/>
        </w:rPr>
        <w:t xml:space="preserve">. The Placement Notice shall originate from any of the individuals from the Company set forth on </w:t>
      </w:r>
      <w:r>
        <w:rPr>
          <w:rFonts w:ascii="Times New Roman;Times;Serif" w:hAnsi="Times New Roman;Times;Serif"/>
          <w:b w:val="false"/>
          <w:i w:val="false"/>
          <w:caps w:val="false"/>
          <w:smallCaps w:val="false"/>
          <w:sz w:val="20"/>
          <w:u w:val="single"/>
        </w:rPr>
        <w:t>Schedule 3</w:t>
      </w:r>
      <w:r>
        <w:rPr>
          <w:rFonts w:ascii="Times New Roman;Times;Serif" w:hAnsi="Times New Roman;Times;Serif"/>
          <w:b w:val="false"/>
          <w:i w:val="false"/>
          <w:caps w:val="false"/>
          <w:smallCaps w:val="false"/>
          <w:sz w:val="20"/>
        </w:rPr>
        <w:t xml:space="preserve"> (with a copy to each of the other individuals from the Company listed on such schedule), and shall be addressed to each of the individuals from A.G.P. set forth on </w:t>
      </w:r>
      <w:r>
        <w:rPr>
          <w:rFonts w:ascii="Times New Roman;Times;Serif" w:hAnsi="Times New Roman;Times;Serif"/>
          <w:b w:val="false"/>
          <w:i w:val="false"/>
          <w:caps w:val="false"/>
          <w:smallCaps w:val="false"/>
          <w:sz w:val="20"/>
          <w:u w:val="single"/>
        </w:rPr>
        <w:t>Schedule 3</w:t>
      </w:r>
      <w:r>
        <w:rPr>
          <w:rFonts w:ascii="Times New Roman;Times;Serif" w:hAnsi="Times New Roman;Times;Serif"/>
          <w:b w:val="false"/>
          <w:i w:val="false"/>
          <w:caps w:val="false"/>
          <w:smallCaps w:val="false"/>
          <w:sz w:val="20"/>
        </w:rPr>
        <w:t xml:space="preserve">, as such </w:t>
      </w:r>
      <w:r>
        <w:rPr>
          <w:rFonts w:ascii="Times New Roman;Times;Serif" w:hAnsi="Times New Roman;Times;Serif"/>
          <w:b w:val="false"/>
          <w:i w:val="false"/>
          <w:caps w:val="false"/>
          <w:smallCaps w:val="false"/>
          <w:sz w:val="20"/>
          <w:u w:val="single"/>
        </w:rPr>
        <w:t>Schedule 3</w:t>
      </w:r>
      <w:r>
        <w:rPr>
          <w:rFonts w:ascii="Times New Roman;Times;Serif" w:hAnsi="Times New Roman;Times;Serif"/>
          <w:b w:val="false"/>
          <w:i w:val="false"/>
          <w:caps w:val="false"/>
          <w:smallCaps w:val="false"/>
          <w:sz w:val="20"/>
        </w:rPr>
        <w:t xml:space="preserve"> may be amended from time to time. The Placement Notice shall be effective immediately upon receipt by A.G.P. unless and until (i) in accordance with the notice requirements set forth in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A.G.P. declines to accept the terms contained therein for any reason, in its sole discretion, (ii) the entire amount of the Placement Shares thereunder has been sold, (iii) the Company suspends or terminates the Placement Notice, which suspension and termination rights may be exercised by the Company in its sole discretion, (iv) the Company issues a subsequent Placement Notice with parameters superseding those on the earlier dated Placement Notice, or (v) this Agreement has been terminated under the provisions of </w:t>
      </w:r>
      <w:r>
        <w:rPr>
          <w:rFonts w:ascii="Times New Roman;Times;Serif" w:hAnsi="Times New Roman;Times;Serif"/>
          <w:b w:val="false"/>
          <w:i w:val="false"/>
          <w:caps w:val="false"/>
          <w:smallCaps w:val="false"/>
          <w:sz w:val="20"/>
          <w:u w:val="single"/>
        </w:rPr>
        <w:t>Section 13</w:t>
      </w:r>
      <w:r>
        <w:rPr>
          <w:rFonts w:ascii="Times New Roman;Times;Serif" w:hAnsi="Times New Roman;Times;Serif"/>
          <w:b w:val="false"/>
          <w:i w:val="false"/>
          <w:caps w:val="false"/>
          <w:smallCaps w:val="false"/>
          <w:sz w:val="20"/>
        </w:rPr>
        <w:t>.</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amount of any discount, commission or other compensation to be paid by the Company to A.G.P. in connection with the sale of the Placement Shares shall be calculated in accordance with the terms set forth in </w:t>
      </w:r>
      <w:r>
        <w:rPr>
          <w:rFonts w:ascii="Times New Roman;Times;Serif" w:hAnsi="Times New Roman;Times;Serif"/>
          <w:b w:val="false"/>
          <w:i w:val="false"/>
          <w:caps w:val="false"/>
          <w:smallCaps w:val="false"/>
          <w:sz w:val="20"/>
          <w:u w:val="single"/>
        </w:rPr>
        <w:t>Schedule 2</w:t>
      </w:r>
      <w:r>
        <w:rPr>
          <w:rFonts w:ascii="Times New Roman;Times;Serif" w:hAnsi="Times New Roman;Times;Serif"/>
          <w:b w:val="false"/>
          <w:i w:val="false"/>
          <w:caps w:val="false"/>
          <w:smallCaps w:val="false"/>
          <w:sz w:val="20"/>
        </w:rPr>
        <w:t xml:space="preserve">. It is expressly acknowledged and agreed that neither the Company nor A.G.P. will have any obligation whatsoever with respect to a Placement or any Placement Shares unless and until the Company delivers a Placement Notice to A.G.P. and A.G.P. does not decline such Placement Notice pursuant to the terms set forth above, and then only upon the terms specified therein and herein. In the event of a conflict between the terms of </w:t>
      </w:r>
      <w:r>
        <w:rPr>
          <w:rFonts w:ascii="Times New Roman;Times;Serif" w:hAnsi="Times New Roman;Times;Serif"/>
          <w:b w:val="false"/>
          <w:i w:val="false"/>
          <w:caps w:val="false"/>
          <w:smallCaps w:val="false"/>
          <w:sz w:val="20"/>
          <w:u w:val="single"/>
        </w:rPr>
        <w:t>Sections 2</w:t>
      </w:r>
      <w:r>
        <w:rPr>
          <w:rFonts w:ascii="Times New Roman;Times;Serif" w:hAnsi="Times New Roman;Times;Serif"/>
          <w:b w:val="false"/>
          <w:i w:val="false"/>
          <w:caps w:val="false"/>
          <w:smallCaps w:val="false"/>
          <w:sz w:val="20"/>
        </w:rPr>
        <w:t xml:space="preserve"> or 3 of this Agreement and the terms of a Placement Notice, the terms of the Placement Notice will control.</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val="false"/>
          <w:caps w:val="false"/>
          <w:smallCaps w:val="false"/>
          <w:sz w:val="20"/>
          <w:u w:val="single"/>
        </w:rPr>
        <w:t>Sale of Placement Shares by A.G.P.</w:t>
      </w:r>
      <w:r>
        <w:rPr>
          <w:rFonts w:ascii="Times New Roman;Times;Serif" w:hAnsi="Times New Roman;Times;Serif"/>
          <w:b w:val="false"/>
          <w:i w:val="false"/>
          <w:caps w:val="false"/>
          <w:smallCaps w:val="false"/>
          <w:sz w:val="20"/>
        </w:rPr>
        <w:t xml:space="preserve"> Subject to the terms and conditions of this Agreement, for the period specified in a Placement Notice, A.G.P. will use its commercially reasonable efforts consistent with its normal trading and sales practices and applicable state and federal laws, rules and regulations and the rules of The NASDAQ Capital Market (the “</w:t>
      </w:r>
      <w:r>
        <w:rPr>
          <w:rFonts w:ascii="Times New Roman;Times;Serif" w:hAnsi="Times New Roman;Times;Serif"/>
          <w:b w:val="false"/>
          <w:i w:val="false"/>
          <w:caps w:val="false"/>
          <w:smallCaps w:val="false"/>
          <w:sz w:val="20"/>
          <w:u w:val="single"/>
        </w:rPr>
        <w:t>Exchange</w:t>
      </w:r>
      <w:r>
        <w:rPr>
          <w:rFonts w:ascii="Times New Roman;Times;Serif" w:hAnsi="Times New Roman;Times;Serif"/>
          <w:b w:val="false"/>
          <w:i w:val="false"/>
          <w:caps w:val="false"/>
          <w:smallCaps w:val="false"/>
          <w:sz w:val="20"/>
        </w:rPr>
        <w:t xml:space="preserve">”), to sell the Placement Shares up to the amount specified in, and otherwise in accordance with the terms of, such Placement Notice. A.G.P. will provide written confirmation to the Company no later than the opening of the Trading Day immediately following the Trading Day on which it has made sales of Placement Shares hereunder setting forth the number of Placement Shares sold on such Trading Day, the volume weighted average price of the Placement Shares sold, the compensation payable by the Company to A.G.P. pursuant to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xml:space="preserve"> with respect to such sales, and the Net Proceeds (as defined below) payable to the Company, with an itemization of the deductions made by A.G.P. (as set forth in </w:t>
      </w:r>
      <w:r>
        <w:rPr>
          <w:rFonts w:ascii="Times New Roman;Times;Serif" w:hAnsi="Times New Roman;Times;Serif"/>
          <w:b w:val="false"/>
          <w:i w:val="false"/>
          <w:caps w:val="false"/>
          <w:smallCaps w:val="false"/>
          <w:sz w:val="20"/>
          <w:u w:val="single"/>
        </w:rPr>
        <w:t>Section 5.b)</w:t>
      </w:r>
      <w:r>
        <w:rPr>
          <w:rFonts w:ascii="Times New Roman;Times;Serif" w:hAnsi="Times New Roman;Times;Serif"/>
          <w:b w:val="false"/>
          <w:i w:val="false"/>
          <w:caps w:val="false"/>
          <w:smallCaps w:val="false"/>
          <w:sz w:val="20"/>
        </w:rPr>
        <w:t>) from the gross proceeds that it receives from such sales. Subject to the terms of a Placement Notice, A.G.P. may sell Placement Shares by any method permitted by law deemed to be an “at the market offering” as defined in Rule 415 of the Securities Act, including without limitation sales made directly on the Exchange, on any other existing trading market for the Common Stock or to or through a market maker. “</w:t>
      </w:r>
      <w:r>
        <w:rPr>
          <w:rFonts w:ascii="Times New Roman;Times;Serif" w:hAnsi="Times New Roman;Times;Serif"/>
          <w:b w:val="false"/>
          <w:i w:val="false"/>
          <w:caps w:val="false"/>
          <w:smallCaps w:val="false"/>
          <w:sz w:val="20"/>
          <w:u w:val="single"/>
        </w:rPr>
        <w:t>Trading Day</w:t>
      </w:r>
      <w:r>
        <w:rPr>
          <w:rFonts w:ascii="Times New Roman;Times;Serif" w:hAnsi="Times New Roman;Times;Serif"/>
          <w:b w:val="false"/>
          <w:i w:val="false"/>
          <w:caps w:val="false"/>
          <w:smallCaps w:val="false"/>
          <w:sz w:val="20"/>
        </w:rPr>
        <w:t>” means any day on which shares of Common Stock are purchased and sold on the Exchange.</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val="false"/>
          <w:caps w:val="false"/>
          <w:smallCaps w:val="false"/>
          <w:sz w:val="20"/>
          <w:u w:val="single"/>
        </w:rPr>
        <w:t>Suspension of Sales</w:t>
      </w:r>
      <w:r>
        <w:rPr>
          <w:rFonts w:ascii="Times New Roman;Times;Serif" w:hAnsi="Times New Roman;Times;Serif"/>
          <w:b w:val="false"/>
          <w:i w:val="false"/>
          <w:caps w:val="false"/>
          <w:smallCaps w:val="false"/>
          <w:sz w:val="20"/>
        </w:rPr>
        <w:t xml:space="preserve">. The Company or A.G.P. may, upon notice to the other party in writing (including by email correspondence to each of the individuals of the other party set forth on </w:t>
      </w:r>
      <w:r>
        <w:rPr>
          <w:rFonts w:ascii="Times New Roman;Times;Serif" w:hAnsi="Times New Roman;Times;Serif"/>
          <w:b w:val="false"/>
          <w:i w:val="false"/>
          <w:caps w:val="false"/>
          <w:smallCaps w:val="false"/>
          <w:sz w:val="20"/>
          <w:u w:val="single"/>
        </w:rPr>
        <w:t>Schedule 3</w:t>
      </w:r>
      <w:r>
        <w:rPr>
          <w:rFonts w:ascii="Times New Roman;Times;Serif" w:hAnsi="Times New Roman;Times;Serif"/>
          <w:b w:val="false"/>
          <w:i w:val="false"/>
          <w:caps w:val="false"/>
          <w:smallCaps w:val="false"/>
          <w:sz w:val="20"/>
        </w:rPr>
        <w:t xml:space="preserve">, if receipt of such correspondence is actually acknowledged by any of the individuals to whom the notice is sent, other than via auto-reply) or by telephone (confirmed immediately by verifiable facsimile transmission or email correspondence to each of the individuals of the other party set forth on </w:t>
      </w:r>
      <w:r>
        <w:rPr>
          <w:rFonts w:ascii="Times New Roman;Times;Serif" w:hAnsi="Times New Roman;Times;Serif"/>
          <w:b w:val="false"/>
          <w:i w:val="false"/>
          <w:caps w:val="false"/>
          <w:smallCaps w:val="false"/>
          <w:sz w:val="20"/>
          <w:u w:val="single"/>
        </w:rPr>
        <w:t>Schedule 3</w:t>
      </w:r>
      <w:r>
        <w:rPr>
          <w:rFonts w:ascii="Times New Roman;Times;Serif" w:hAnsi="Times New Roman;Times;Serif"/>
          <w:b w:val="false"/>
          <w:i w:val="false"/>
          <w:caps w:val="false"/>
          <w:smallCaps w:val="false"/>
          <w:sz w:val="20"/>
        </w:rPr>
        <w:t>), suspend any sale of Placement Shares (a “</w:t>
      </w:r>
      <w:r>
        <w:rPr>
          <w:rFonts w:ascii="Times New Roman;Times;Serif" w:hAnsi="Times New Roman;Times;Serif"/>
          <w:b w:val="false"/>
          <w:i w:val="false"/>
          <w:caps w:val="false"/>
          <w:smallCaps w:val="false"/>
          <w:sz w:val="20"/>
          <w:u w:val="single"/>
        </w:rPr>
        <w:t>Suspension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such suspension shall not affect or impair any party’s obligations with respect to any Placement Shares sold hereunder prior to the receipt of such notice. While a Suspension is in effect, any obligation under </w:t>
      </w:r>
      <w:r>
        <w:rPr>
          <w:rFonts w:ascii="Times New Roman;Times;Serif" w:hAnsi="Times New Roman;Times;Serif"/>
          <w:b w:val="false"/>
          <w:i w:val="false"/>
          <w:caps w:val="false"/>
          <w:smallCaps w:val="false"/>
          <w:sz w:val="20"/>
          <w:u w:val="single"/>
        </w:rPr>
        <w:t>Sections 7.l)</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7.m)</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7.n)</w:t>
      </w:r>
      <w:r>
        <w:rPr>
          <w:rFonts w:ascii="Times New Roman;Times;Serif" w:hAnsi="Times New Roman;Times;Serif"/>
          <w:b w:val="false"/>
          <w:i w:val="false"/>
          <w:caps w:val="false"/>
          <w:smallCaps w:val="false"/>
          <w:sz w:val="20"/>
        </w:rPr>
        <w:t xml:space="preserve"> with respect to the delivery of certificates, opinions, or comfort letters to A.G.P., shall be waived. Each of the parties hereto agrees that no such notice under this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shall be effective against any other party unless it is made to one of the individuals named on </w:t>
      </w:r>
      <w:r>
        <w:rPr>
          <w:rFonts w:ascii="Times New Roman;Times;Serif" w:hAnsi="Times New Roman;Times;Serif"/>
          <w:b w:val="false"/>
          <w:i w:val="false"/>
          <w:caps w:val="false"/>
          <w:smallCaps w:val="false"/>
          <w:sz w:val="20"/>
          <w:u w:val="single"/>
        </w:rPr>
        <w:t>Schedule 3</w:t>
      </w:r>
      <w:r>
        <w:rPr>
          <w:rFonts w:ascii="Times New Roman;Times;Serif" w:hAnsi="Times New Roman;Times;Serif"/>
          <w:b w:val="false"/>
          <w:i w:val="false"/>
          <w:caps w:val="false"/>
          <w:smallCaps w:val="false"/>
          <w:sz w:val="20"/>
        </w:rPr>
        <w:t xml:space="preserve"> hereto, as such Schedule may be amended from time to time, and acknowledged or confirmed, as applicable, in accordance with the first sentence of this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val="false"/>
          <w:i w:val="false"/>
          <w:caps w:val="false"/>
          <w:smallCaps w:val="false"/>
          <w:sz w:val="20"/>
          <w:u w:val="single"/>
        </w:rPr>
        <w:t>Sale and Delivery to A.G.P.; Settlement</w:t>
      </w:r>
      <w:r>
        <w:rPr>
          <w:rFonts w:ascii="Times New Roman;Times;Serif" w:hAnsi="Times New Roman;Times;Serif"/>
          <w:b w:val="false"/>
          <w:i w:val="false"/>
          <w:caps w:val="false"/>
          <w:smallCaps w:val="false"/>
          <w:sz w:val="20"/>
        </w:rPr>
        <w:t>.</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Sale of Placement Shares</w:t>
      </w:r>
      <w:r>
        <w:rPr>
          <w:rFonts w:ascii="Times New Roman;Times;Serif" w:hAnsi="Times New Roman;Times;Serif"/>
          <w:b w:val="false"/>
          <w:i w:val="false"/>
          <w:caps w:val="false"/>
          <w:smallCaps w:val="false"/>
          <w:sz w:val="20"/>
        </w:rPr>
        <w:t>. On the basis of the representations and warranties herein contained and subject to the terms and conditions herein set forth, unless A.G.P. declines to accept the terms of a Placement Notice, and unless the sale of the Placement Shares described therein has been declined, suspended, or otherwise terminated in accordance with the terms of this Agreement, A.G.P., for the period specified in the Placement Notice, will use its commercially reasonable efforts consistent with its normal trading and sales practices and applicable state and federal laws, rules and regulations and the rules of the Exchange to sell such Placement Shares up to the amount specified in, and otherwise in accordance with the terms of, such Placement Notice. The Company acknowledges and agrees that (i) there can be no assurance that A.G.P. will be successful in selling Placement Shares, (ii) A.G.P. will incur no liability or obligation to the Company or any other person or entity if it does not sell Placement Shares for any reason other than a failure by A.G.P. to use its commercially reasonable efforts consistent with its normal trading and sales practices and applicable state and federal laws, rules and regulations and the rules of the Exchange to sell such Placement Shares as required under this Agreement and (iii) A.G.P. shall be under no obligation to purchase Placement Shares on a principal basis pursuant to this Agreement, except as otherwise agreed in writing by A.G.P. and the Company.</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Settlement of Placement Shares</w:t>
      </w:r>
      <w:r>
        <w:rPr>
          <w:rFonts w:ascii="Times New Roman;Times;Serif" w:hAnsi="Times New Roman;Times;Serif"/>
          <w:b w:val="false"/>
          <w:i w:val="false"/>
          <w:caps w:val="false"/>
          <w:smallCaps w:val="false"/>
          <w:sz w:val="20"/>
        </w:rPr>
        <w:t>. Unless otherwise specified in the applicable Placement Notice, settlement for sales of Placement Shares will occur on the first (1st) Trading Day (or such earlier day as is industry practice for regular-way trading) following the date on which such sales are made (each, a “</w:t>
      </w:r>
      <w:r>
        <w:rPr>
          <w:rFonts w:ascii="Times New Roman;Times;Serif" w:hAnsi="Times New Roman;Times;Serif"/>
          <w:b w:val="false"/>
          <w:i w:val="false"/>
          <w:caps w:val="false"/>
          <w:smallCaps w:val="false"/>
          <w:sz w:val="20"/>
          <w:u w:val="single"/>
        </w:rPr>
        <w:t>Settlement Date</w:t>
      </w:r>
      <w:r>
        <w:rPr>
          <w:rFonts w:ascii="Times New Roman;Times;Serif" w:hAnsi="Times New Roman;Times;Serif"/>
          <w:b w:val="false"/>
          <w:i w:val="false"/>
          <w:caps w:val="false"/>
          <w:smallCaps w:val="false"/>
          <w:sz w:val="20"/>
        </w:rPr>
        <w:t>”). A.G.P. shall notify the Company of each sale of Placement Shares no later than the opening of the Trading Day immediately following the Trading Day that A.G.P. sold Placement Shares. The amount of proceeds to be delivered to the Company on a Settlement Date against receipt of the Placement Shares sold (the “</w:t>
      </w:r>
      <w:r>
        <w:rPr>
          <w:rFonts w:ascii="Times New Roman;Times;Serif" w:hAnsi="Times New Roman;Times;Serif"/>
          <w:b w:val="false"/>
          <w:i w:val="false"/>
          <w:caps w:val="false"/>
          <w:smallCaps w:val="false"/>
          <w:sz w:val="20"/>
          <w:u w:val="single"/>
        </w:rPr>
        <w:t>Net Proceeds</w:t>
      </w:r>
      <w:r>
        <w:rPr>
          <w:rFonts w:ascii="Times New Roman;Times;Serif" w:hAnsi="Times New Roman;Times;Serif"/>
          <w:b w:val="false"/>
          <w:i w:val="false"/>
          <w:caps w:val="false"/>
          <w:smallCaps w:val="false"/>
          <w:sz w:val="20"/>
        </w:rPr>
        <w:t xml:space="preserve">”) will be equal to the aggregate sales price received by A.G.P. for such Placement Shares, after deduction for (i) A.G.P.’s commission, discount or other compensation for such sales payable by the Company pursuant to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xml:space="preserve"> hereof, (ii) any other amounts due and payable by the Company to A.G.P. hereunder pursuant to </w:t>
      </w:r>
      <w:r>
        <w:rPr>
          <w:rFonts w:ascii="Times New Roman;Times;Serif" w:hAnsi="Times New Roman;Times;Serif"/>
          <w:b w:val="false"/>
          <w:i w:val="false"/>
          <w:caps w:val="false"/>
          <w:smallCaps w:val="false"/>
          <w:sz w:val="20"/>
          <w:u w:val="single"/>
        </w:rPr>
        <w:t>Section 9</w:t>
      </w:r>
      <w:r>
        <w:rPr>
          <w:rFonts w:ascii="Times New Roman;Times;Serif" w:hAnsi="Times New Roman;Times;Serif"/>
          <w:b w:val="false"/>
          <w:i w:val="false"/>
          <w:caps w:val="false"/>
          <w:smallCaps w:val="false"/>
          <w:sz w:val="20"/>
        </w:rPr>
        <w:t xml:space="preserve"> hereof and (iii) any transaction fees, trading expenses or execution fees imposed by any clearing organization or any governmental or self-regulatory organization or any other fees incurred by A.G.P. in respect of such sales that are paid by A.G.P.</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Delivery of Placement Shares</w:t>
      </w:r>
      <w:r>
        <w:rPr>
          <w:rFonts w:ascii="Times New Roman;Times;Serif" w:hAnsi="Times New Roman;Times;Serif"/>
          <w:b w:val="false"/>
          <w:i w:val="false"/>
          <w:caps w:val="false"/>
          <w:smallCaps w:val="false"/>
          <w:sz w:val="20"/>
        </w:rPr>
        <w:t>. On or before each Settlement Date, the Company will, or will cause its transfer agent to, electronically transfer the Placement Shares being sold by crediting A.G.P.’s or its designee’s account (provided, A.G.P. shall have given the Company written notice of such designee and such designee’s account information at least one Trading Day prior to the Settlement Date) at The Depository Trust Company through its Deposit and Withdrawal at Custodian System (“</w:t>
      </w:r>
      <w:r>
        <w:rPr>
          <w:rFonts w:ascii="Times New Roman;Times;Serif" w:hAnsi="Times New Roman;Times;Serif"/>
          <w:b w:val="false"/>
          <w:i w:val="false"/>
          <w:caps w:val="false"/>
          <w:smallCaps w:val="false"/>
          <w:sz w:val="20"/>
          <w:u w:val="single"/>
        </w:rPr>
        <w:t>DWAC</w:t>
      </w:r>
      <w:r>
        <w:rPr>
          <w:rFonts w:ascii="Times New Roman;Times;Serif" w:hAnsi="Times New Roman;Times;Serif"/>
          <w:b w:val="false"/>
          <w:i w:val="false"/>
          <w:caps w:val="false"/>
          <w:smallCaps w:val="false"/>
          <w:sz w:val="20"/>
        </w:rPr>
        <w:t xml:space="preserve">”) or by such other means of delivery as may be mutually agreed upon by the parties hereto which in all cases shall be freely tradable, transferable, registered shares in good deliverable form. On each Settlement Date, A.G.P. will deliver the related Net Proceeds in same day funds to an account designated by the Company on, or prior to, the Settlement Date. A.G.P. will be responsible for providing DWAC instructions for delivery by other means with regard to the Placement Shares being sold. The Company agrees that if the Company, or its transfer agent (if applicable), defaults in its obligation to deliver Placement Shares on a Settlement Date through no fault of A.G.P., then in addition to and in no way limiting the rights and obligations set forth in </w:t>
      </w:r>
      <w:r>
        <w:rPr>
          <w:rFonts w:ascii="Times New Roman;Times;Serif" w:hAnsi="Times New Roman;Times;Serif"/>
          <w:b w:val="false"/>
          <w:i w:val="false"/>
          <w:caps w:val="false"/>
          <w:smallCaps w:val="false"/>
          <w:sz w:val="20"/>
          <w:u w:val="single"/>
        </w:rPr>
        <w:t>Section 11.a)</w:t>
      </w:r>
      <w:r>
        <w:rPr>
          <w:rFonts w:ascii="Times New Roman;Times;Serif" w:hAnsi="Times New Roman;Times;Serif"/>
          <w:b w:val="false"/>
          <w:i w:val="false"/>
          <w:caps w:val="false"/>
          <w:smallCaps w:val="false"/>
          <w:sz w:val="20"/>
        </w:rPr>
        <w:t xml:space="preserve"> hereto, it will (i) hold A.G.P. harmless against any loss, claim, damage, or reasonable, documented expense (including reasonable and documented legal fees and expenses), as incurred, arising out of or in connection with such default by the Company or its transfer agent (if applicable) and (ii) pay to A.G.P. (without duplication) any commission, discount, or other compensation to which it would otherwise have been entitled absent such default.</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Limitations on Offering Size</w:t>
      </w:r>
      <w:r>
        <w:rPr>
          <w:rFonts w:ascii="Times New Roman;Times;Serif" w:hAnsi="Times New Roman;Times;Serif"/>
          <w:b w:val="false"/>
          <w:i w:val="false"/>
          <w:caps w:val="false"/>
          <w:smallCaps w:val="false"/>
          <w:sz w:val="20"/>
        </w:rPr>
        <w:t>. Under no circumstances shall the Company cause or request the offer or sale of any Placement Shares if, after giving effect to the sale of such Placement Shares, the aggregate gross sales proceeds of such Placement Shares would exceed the least of (A) together with all sales of Placement Shares under this Agreement, the Maximum Amount, (B) the amount remaining available for offer and sale under the Registration Statement and (C) together with all sales of Placement Shares under this Agreement, the amount authorized from time to time to be issued and sold under this Agreement by the Company’s board of directors, a duly authorized committee thereof or a duly authorized executive officer, and notified to A.G.P. in writing. Under no circumstances shall the Company cause or request the offer or sale of any Placement Shares pursuant to this Agreement at a price lower than any minimum price authorized from time to time by the Company’s board of directors, a duly authorized committee thereof or a duly authorized executive officer, and notified to A.G.P. in writing.</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val="false"/>
          <w:i w:val="false"/>
          <w:caps w:val="false"/>
          <w:smallCaps w:val="false"/>
          <w:sz w:val="20"/>
          <w:u w:val="single"/>
        </w:rPr>
        <w:t>Representations and Warranties of the Company</w:t>
      </w:r>
      <w:r>
        <w:rPr>
          <w:rFonts w:ascii="Times New Roman;Times;Serif" w:hAnsi="Times New Roman;Times;Serif"/>
          <w:b w:val="false"/>
          <w:i w:val="false"/>
          <w:caps w:val="false"/>
          <w:smallCaps w:val="false"/>
          <w:sz w:val="20"/>
        </w:rPr>
        <w:t>. Except as disclosed in the SEC Documents, the Company represents and warrants to, and agrees with A.G.P. that as of the date of this Agreement and as of each Applicable Time (as defined below), unless such representation, warranty or agreement specifies a different date or time:</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Registration Statement and Prospectus</w:t>
      </w:r>
      <w:r>
        <w:rPr>
          <w:rFonts w:ascii="Times New Roman;Times;Serif" w:hAnsi="Times New Roman;Times;Serif"/>
          <w:b w:val="false"/>
          <w:i w:val="false"/>
          <w:caps w:val="false"/>
          <w:smallCaps w:val="false"/>
          <w:sz w:val="20"/>
        </w:rPr>
        <w:t>. The transactions contemplated by this Agreement meet the requirements for and comply with the conditions for the use of Form S-3 under the Securities Act. The Registration Statement has been filed with the Commission and has been declared effective under the Securities Act. The Prospectus Supplement will name A.G.P. as the agent in the section entitled “</w:t>
      </w:r>
      <w:r>
        <w:rPr>
          <w:rFonts w:ascii="Times New Roman;Times;Serif" w:hAnsi="Times New Roman;Times;Serif"/>
          <w:b w:val="false"/>
          <w:i w:val="false"/>
          <w:caps w:val="false"/>
          <w:smallCaps w:val="false"/>
          <w:sz w:val="20"/>
          <w:u w:val="single"/>
        </w:rPr>
        <w:t>Plan of Distribution</w:t>
      </w:r>
      <w:r>
        <w:rPr>
          <w:rFonts w:ascii="Times New Roman;Times;Serif" w:hAnsi="Times New Roman;Times;Serif"/>
          <w:b w:val="false"/>
          <w:i w:val="false"/>
          <w:caps w:val="false"/>
          <w:smallCaps w:val="false"/>
          <w:sz w:val="20"/>
        </w:rPr>
        <w:t>.” The Company has not received, and has no notice of, any order of the Commission preventing or suspending the use of the Registration Statement, or threatening or instituting proceedings for that purpose. The Registration Statement and the offer and sale of Placement Shares as contemplated hereby meet the requirements of Rule 415 under the Securities Act and comply in all material respects with said Rule. Any statutes, regulations, contracts or other documents that are required to be described in the Registration Statement or the Prospectus or to be filed as exhibits to the Registration Statement have been so described or filed, as applicable. Copies of the Registration Statement, the Prospectus, and any such amendments or supplements and all Incorporated Documents that were filed with the Commission on or prior to the date of this Agreement have been delivered, or are available through EDGAR, to A.G.P. and its counsel. The Company has not distributed and, prior to the later to occur of each Settlement Date and completion of the distribution of the Placement Shares, will not distribute any offering material in connection with the offering or sale of the Placement Shares other than the Registration Statement and the Prospectus and any Issuer Free Writing Prospectus (as defined below) to which A.G.P. has consented in writing, such consent not to be unreasonably withheld, conditioned or delayed, or that is required by applicable law or the listing maintenance requirements of the Exchange. The Common Stock is currently listed on the Exchange under the trading symbol “</w:t>
      </w:r>
      <w:r>
        <w:rPr>
          <w:rFonts w:ascii="Times New Roman;Times;Serif" w:hAnsi="Times New Roman;Times;Serif"/>
          <w:b w:val="false"/>
          <w:i w:val="false"/>
          <w:caps w:val="false"/>
          <w:smallCaps w:val="false"/>
          <w:sz w:val="20"/>
          <w:u w:val="single"/>
        </w:rPr>
        <w:t>LIDR</w:t>
      </w:r>
      <w:r>
        <w:rPr>
          <w:rFonts w:ascii="Times New Roman;Times;Serif" w:hAnsi="Times New Roman;Times;Serif"/>
          <w:b w:val="false"/>
          <w:i w:val="false"/>
          <w:caps w:val="false"/>
          <w:smallCaps w:val="false"/>
          <w:sz w:val="20"/>
        </w:rPr>
        <w:t>.” The Company has not, in the twelve (12) months preceding the date hereof, received notice from the Exchange to the effect that the Company is not in compliance with the listing or maintenance requirements of the Exchange. To the Company’s Knowledge, it is in compliance with all such listing and maintenance requirements of the Exchange.</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No Misstatement or Omission</w:t>
      </w:r>
      <w:r>
        <w:rPr>
          <w:rFonts w:ascii="Times New Roman;Times;Serif" w:hAnsi="Times New Roman;Times;Serif"/>
          <w:b w:val="false"/>
          <w:i w:val="false"/>
          <w:caps w:val="false"/>
          <w:smallCaps w:val="false"/>
          <w:sz w:val="20"/>
        </w:rPr>
        <w:t>. At each Settlement Date, the Registration Statement and the Prospectus, as of such date, will conform in all material respects with the requirements of the Securities Act. The Registration Statement, when it became or becomes effective, did not, and will not, contain an untrue statement of a material fact or omit to state a material fact required to be stated therein or necessary to make the statements therein not misleading. The Prospectus and any amendment and supplement thereto, on the date thereof and at each Applicable Time (defined below), did not or will not include an untrue statement of a material fact or omit to state a material fact necessary to make the statements therein, in light of the circumstances under which they were made, not misleading. The Incorporated Documents did not, and any further Incorporated Documents will not, when filed with the Commission, contain an untrue statement of a material fact or omit to state a material fact required to be stated in such document or necessary to make the statements in such document, in light of the circumstances under which they were made, not misleading. The foregoing shall not apply to, and the Company neither makes nor shall make any representation or warranty in respect of, statements in, or omissions from, any such document made in reliance upon, and in conformity with, information furnished in writing to the Company by A.G.P. specifically for use in the preparation thereof.</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4</w:t>
            </w:r>
          </w:p>
        </w:tc>
        <w:tc>
          <w:tcPr>
            <w:tcW w:w="75" w:type="dxa"/>
            <w:tcBorders/>
            <w:vAlign w:val="center"/>
          </w:tcPr>
          <w:p>
            <w:pPr>
              <w:pStyle w:val="TableContents"/>
              <w:bidi w:val="0"/>
              <w:spacing w:before="0" w:after="283"/>
              <w:jc w:val="righ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Conformity with Securities Act and Exchange Act</w:t>
      </w:r>
      <w:r>
        <w:rPr>
          <w:rFonts w:ascii="Times New Roman;Times;Serif" w:hAnsi="Times New Roman;Times;Serif"/>
          <w:b w:val="false"/>
          <w:i w:val="false"/>
          <w:caps w:val="false"/>
          <w:smallCaps w:val="false"/>
          <w:sz w:val="20"/>
        </w:rPr>
        <w:t>. The Registration Statement, the Prospectus, any Issuer Free Writing Prospectus or any amendment or supplement thereto, and the Incorporated Documents, when such documents were or are filed with the Commission under the Securities Act or the Exchange Act or became or become effective under the Securities Act, as the case may be, conformed or will conform in all material respects with the requirements of the Securities Act and the Exchange Act, as applicable.</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Financial Information</w:t>
      </w:r>
      <w:r>
        <w:rPr>
          <w:rFonts w:ascii="Times New Roman;Times;Serif" w:hAnsi="Times New Roman;Times;Serif"/>
          <w:b w:val="false"/>
          <w:i w:val="false"/>
          <w:caps w:val="false"/>
          <w:smallCaps w:val="false"/>
          <w:sz w:val="20"/>
        </w:rPr>
        <w:t>. The consolidated financial statements of the Company included or incorporated by reference in the Registration Statement and the Prospectus, together with the related notes and schedules, present fairly, in all material respects, the consolidated financial position of the Company and the Subsidiaries (as defined below) as of the dates indicated and the consolidated results of operations, cash flows and changes in stockholders’ equity of the Company for the periods specified (subject, in the case of unaudited financial statements, to normal year-end audit adjustments which will not be material, either individually or in the aggregate) and have been prepared in compliance with the published requirements of the Securities Act and Exchange Act, as applicable, and in conformity with generally accepted accounting principles in the United States (“</w:t>
      </w:r>
      <w:r>
        <w:rPr>
          <w:rFonts w:ascii="Times New Roman;Times;Serif" w:hAnsi="Times New Roman;Times;Serif"/>
          <w:b w:val="false"/>
          <w:i w:val="false"/>
          <w:caps w:val="false"/>
          <w:smallCaps w:val="false"/>
          <w:sz w:val="20"/>
          <w:u w:val="single"/>
        </w:rPr>
        <w:t>GAAP</w:t>
      </w:r>
      <w:r>
        <w:rPr>
          <w:rFonts w:ascii="Times New Roman;Times;Serif" w:hAnsi="Times New Roman;Times;Serif"/>
          <w:b w:val="false"/>
          <w:i w:val="false"/>
          <w:caps w:val="false"/>
          <w:smallCaps w:val="false"/>
          <w:sz w:val="20"/>
        </w:rPr>
        <w:t>”) applied on a consistent basis (except (i) as may be noted therein, (ii) in the case of unaudited financial statements, to the extent they may exclude footnotes or may be condensed or summary statements and (iii) for such adjustments which will not be material, either individually or in the aggregate) during the periods involved; the other financial and statistical data with respect to the Company and the Subsidiaries contained or incorporated by reference in the Registration Statement and the Prospectus, are accurately and fairly presented and prepared on a basis consistent with the financial statements and books and records of the Company; there are no financial statements (historical or pro forma) that are required to be included or incorporated by reference in the Registration Statement, or the Prospectus that are not included or incorporated by reference as required; the Company and the Subsidiaries do not have any material liabilities or obligations, direct or contingent (including any off-balance sheet obligations), not described in the Registration Statement (including the exhibits thereto and Incorporated Documents), and the Prospectus which are required to be described in the Registration Statement or Prospectus (including the exhibits thereto and Incorporated Documents); and all disclosures contained or incorporated by reference in the Registration Statement and the Prospectus, if any, regarding “non-GAAP financial measures” (as such term is defined by the rules and regulations of the Commission) comply in all material respects with Regulation G of the Exchange Act and Item 10 of Regulation S-K under the Securities Act, to the extent applicable.</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Conformity with EDGAR Filing</w:t>
      </w:r>
      <w:r>
        <w:rPr>
          <w:rFonts w:ascii="Times New Roman;Times;Serif" w:hAnsi="Times New Roman;Times;Serif"/>
          <w:b w:val="false"/>
          <w:i w:val="false"/>
          <w:caps w:val="false"/>
          <w:smallCaps w:val="false"/>
          <w:sz w:val="20"/>
        </w:rPr>
        <w:t>. The Prospectus delivered to A.G.P. for use in connection with the sale of the Placement Shares pursuant to this Agreement will be identical to the versions of the Prospectus created to be transmitted to the Commission for filing via EDGAR, except to the extent permitted by Regulation S-T.</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Organization</w:t>
      </w:r>
      <w:r>
        <w:rPr>
          <w:rFonts w:ascii="Times New Roman;Times;Serif" w:hAnsi="Times New Roman;Times;Serif"/>
          <w:b w:val="false"/>
          <w:i w:val="false"/>
          <w:caps w:val="false"/>
          <w:smallCaps w:val="false"/>
          <w:sz w:val="20"/>
        </w:rPr>
        <w:t xml:space="preserve">. Other than as specified in </w:t>
      </w:r>
      <w:r>
        <w:rPr>
          <w:rFonts w:ascii="Times New Roman;Times;Serif" w:hAnsi="Times New Roman;Times;Serif"/>
          <w:b w:val="false"/>
          <w:i w:val="false"/>
          <w:caps w:val="false"/>
          <w:smallCaps w:val="false"/>
          <w:sz w:val="20"/>
          <w:u w:val="single"/>
        </w:rPr>
        <w:t>Schedule 4</w:t>
      </w:r>
      <w:r>
        <w:rPr>
          <w:rFonts w:ascii="Times New Roman;Times;Serif" w:hAnsi="Times New Roman;Times;Serif"/>
          <w:b w:val="false"/>
          <w:i w:val="false"/>
          <w:caps w:val="false"/>
          <w:smallCaps w:val="false"/>
          <w:sz w:val="20"/>
        </w:rPr>
        <w:t xml:space="preserve"> hereto, the Company and any subsidiary of the Company that is a significant subsidiary (as such term is defined in Rule 1-02 of Regulation S-X promulgated by the Commission) (each, a “</w:t>
      </w:r>
      <w:r>
        <w:rPr>
          <w:rFonts w:ascii="Times New Roman;Times;Serif" w:hAnsi="Times New Roman;Times;Serif"/>
          <w:b w:val="false"/>
          <w:i w:val="false"/>
          <w:caps w:val="false"/>
          <w:smallCaps w:val="false"/>
          <w:sz w:val="20"/>
          <w:u w:val="single"/>
        </w:rPr>
        <w:t>Subsidiary</w:t>
      </w:r>
      <w:r>
        <w:rPr>
          <w:rFonts w:ascii="Times New Roman;Times;Serif" w:hAnsi="Times New Roman;Times;Serif"/>
          <w:b w:val="false"/>
          <w:i w:val="false"/>
          <w:caps w:val="false"/>
          <w:smallCaps w:val="false"/>
          <w:sz w:val="20"/>
        </w:rPr>
        <w:t>,” collectively, the “</w:t>
      </w:r>
      <w:r>
        <w:rPr>
          <w:rFonts w:ascii="Times New Roman;Times;Serif" w:hAnsi="Times New Roman;Times;Serif"/>
          <w:b w:val="false"/>
          <w:i w:val="false"/>
          <w:caps w:val="false"/>
          <w:smallCaps w:val="false"/>
          <w:sz w:val="20"/>
          <w:u w:val="single"/>
        </w:rPr>
        <w:t>Subsidiaries</w:t>
      </w:r>
      <w:r>
        <w:rPr>
          <w:rFonts w:ascii="Times New Roman;Times;Serif" w:hAnsi="Times New Roman;Times;Serif"/>
          <w:b w:val="false"/>
          <w:i w:val="false"/>
          <w:caps w:val="false"/>
          <w:smallCaps w:val="false"/>
          <w:sz w:val="20"/>
        </w:rPr>
        <w:t>”), are duly organized, validly existing as a corporation and in good standing under the laws of their respective jurisdictions of organization. The Company and the Subsidiaries are duly licensed or qualified as a foreign corporation for transaction of business and in good standing under the laws of each other jurisdiction in which their respective ownership or lease of property or the conduct of their respective businesses requires such license or qualification, and have all corporate power and authority necessary to own or hold their respective properties and to conduct their respective businesses as described in the Registration Statement and the Prospectus, except where the failure to be so qualified or in good standing or have such power or authority would not, individually or in the aggregate, have a material adverse effect on the assets, business, operations, earnings, properties, condition (financial or otherwise), prospects, stockholders’ equity or results of operations of the Company and the Subsidiaries taken as a whole, or prevent the consummation of the transactions contemplated hereby (a “</w:t>
      </w:r>
      <w:r>
        <w:rPr>
          <w:rFonts w:ascii="Times New Roman;Times;Serif" w:hAnsi="Times New Roman;Times;Serif"/>
          <w:b w:val="false"/>
          <w:i w:val="false"/>
          <w:caps w:val="false"/>
          <w:smallCaps w:val="false"/>
          <w:sz w:val="20"/>
          <w:u w:val="single"/>
        </w:rPr>
        <w:t>Material Adverse Effect</w:t>
      </w:r>
      <w:r>
        <w:rPr>
          <w:rFonts w:ascii="Times New Roman;Times;Serif" w:hAnsi="Times New Roman;Times;Serif"/>
          <w:b w:val="false"/>
          <w:i w:val="false"/>
          <w:caps w:val="false"/>
          <w:smallCaps w:val="false"/>
          <w:sz w:val="20"/>
        </w:rPr>
        <w:t>”).</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Subsidiaries</w:t>
      </w:r>
      <w:r>
        <w:rPr>
          <w:rFonts w:ascii="Times New Roman;Times;Serif" w:hAnsi="Times New Roman;Times;Serif"/>
          <w:b w:val="false"/>
          <w:i w:val="false"/>
          <w:caps w:val="false"/>
          <w:smallCaps w:val="false"/>
          <w:sz w:val="20"/>
        </w:rPr>
        <w:t>. As of the date hereof, the only Subsidiaries of the Company are set forth on Exhibit 21.1 to the Company’s most recent Annual Report on Form 10-K filed with the Commission. The Company owns directly or indirectly, all of the equity interests of the Subsidiaries free and clear of any lien, charge, security interest, encumbrance, right of first refusal or other restriction, and all the equity interests of the Subsidiaries are validly issued and are fully paid, nonassessable and free of any preemptive rights, rights of first refusal or similar rights.</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5</w:t>
            </w:r>
          </w:p>
        </w:tc>
        <w:tc>
          <w:tcPr>
            <w:tcW w:w="75" w:type="dxa"/>
            <w:tcBorders/>
            <w:vAlign w:val="center"/>
          </w:tcPr>
          <w:p>
            <w:pPr>
              <w:pStyle w:val="TableContents"/>
              <w:bidi w:val="0"/>
              <w:spacing w:before="0" w:after="283"/>
              <w:jc w:val="righ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No Violation or Default</w:t>
      </w:r>
      <w:r>
        <w:rPr>
          <w:rFonts w:ascii="Times New Roman;Times;Serif" w:hAnsi="Times New Roman;Times;Serif"/>
          <w:b w:val="false"/>
          <w:i w:val="false"/>
          <w:caps w:val="false"/>
          <w:smallCaps w:val="false"/>
          <w:sz w:val="20"/>
        </w:rPr>
        <w:t xml:space="preserve">. Other than as specified in </w:t>
      </w:r>
      <w:r>
        <w:rPr>
          <w:rFonts w:ascii="Times New Roman;Times;Serif" w:hAnsi="Times New Roman;Times;Serif"/>
          <w:b w:val="false"/>
          <w:i w:val="false"/>
          <w:caps w:val="false"/>
          <w:smallCaps w:val="false"/>
          <w:sz w:val="20"/>
          <w:u w:val="single"/>
        </w:rPr>
        <w:t>Schedule 4</w:t>
      </w:r>
      <w:r>
        <w:rPr>
          <w:rFonts w:ascii="Times New Roman;Times;Serif" w:hAnsi="Times New Roman;Times;Serif"/>
          <w:b w:val="false"/>
          <w:i w:val="false"/>
          <w:caps w:val="false"/>
          <w:smallCaps w:val="false"/>
          <w:sz w:val="20"/>
        </w:rPr>
        <w:t xml:space="preserve"> hereto, neither the Company nor any Subsidiary is: (i) in violation of its charter or by-laws or similar organizational documents; (ii) in default, and no event has occurred that, with notice or lapse of time or both, would constitute such a default, in the due performance or observance of any term, covenant or condition contained in any indenture, mortgage, deed of trust, loan agreement or other agreement or instrument to which the Company or any Subsidiary is a party or by which the Company or any Subsidiary is bound or to which any of the property or assets of the Company or any Subsidiary is subject; or (iii) in violation of any law or statute or any judgment, order, rule or regulation of any court or arbitrator or governmental or regulatory authority having jurisdiction over the Company or any Subsidiary, except, in the case of each of clauses (ii) and (iii) above, for any such violation or default that would not, individually or in the aggregate, have a Material Adverse Effect. To the Company’s Knowledge, no other party under any material contract or other agreement to which it or any Subsidiary is a party is in default in any respect thereunder where such default would have a Material Adverse Effect.</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No Material Adverse Effect</w:t>
      </w:r>
      <w:r>
        <w:rPr>
          <w:rFonts w:ascii="Times New Roman;Times;Serif" w:hAnsi="Times New Roman;Times;Serif"/>
          <w:b w:val="false"/>
          <w:i w:val="false"/>
          <w:caps w:val="false"/>
          <w:smallCaps w:val="false"/>
          <w:sz w:val="20"/>
        </w:rPr>
        <w:t>. Since the date of the most recent financial statements of the Company included or incorporated by reference in the Registration Statement and Prospectus, there has not been (i) any Material Adverse Effect, or any development that the Company reasonably expects would result in a Material Adverse Effect, (ii) any transaction which is material to the Company and the Subsidiaries taken as a whole which is required to be disclosed under federal securities laws, (iii) any obligation or liability, direct or contingent (including any off-balance sheet obligations), incurred by the Company or any of the Subsidiaries, which is material to the Company and the Subsidiaries taken as a whole, (iv) any material change in the capital stock (other than (A) the grant of additional options or awards under the Company’s existing equity incentive plans, (B) changes in the number of outstanding shares of Common Stock due to the issuance of shares upon the exercise, vesting or conversion of securities exercisable for, or convertible into, Common Stock outstanding on the date hereof, (C) as a result of execution of this Agreement or the issuance of Placement Shares, (D) any repurchases of capital stock of the Company, (E) as described in a proxy statement filed on Schedule 14A or a Registration Statement on Form S-4, or (F) otherwise publicly announced) or outstanding long-term indebtedness of the Company or any of the Subsidiaries or (v) any dividend or distribution of any kind declared, paid or made on the capital stock of the Company or any Subsidiary, other than in each case above in the ordinary course of business or as otherwise disclosed in the Registration Statement or Prospectus (including any Incorporated Document).</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t>
      </w:r>
      <w:r>
        <w:rPr>
          <w:rFonts w:ascii="Times New Roman;Times;Serif" w:hAnsi="Times New Roman;Times;Serif"/>
          <w:b w:val="false"/>
          <w:i w:val="false"/>
          <w:caps w:val="false"/>
          <w:smallCaps w:val="false"/>
          <w:sz w:val="20"/>
          <w:u w:val="single"/>
        </w:rPr>
        <w:t>Capitalization</w:t>
      </w:r>
      <w:r>
        <w:rPr>
          <w:rFonts w:ascii="Times New Roman;Times;Serif" w:hAnsi="Times New Roman;Times;Serif"/>
          <w:b w:val="false"/>
          <w:i w:val="false"/>
          <w:caps w:val="false"/>
          <w:smallCaps w:val="false"/>
          <w:sz w:val="20"/>
        </w:rPr>
        <w:t>. The issued and outstanding shares of capital stock of the Company have been validly issued, are fully paid and non-assessable and, other than as disclosed in the Registration Statement or the Prospectus, are not subject to any preemptive rights, rights of first refusal or similar rights. The Company has an authorized, issued and outstanding capitalization as set forth in the Registration Statement and the Prospectus as of the dates referred to therein (other than (i) the grant of additional options or awards under the Company’s existing equity incentive plans, (ii) changes in the number of outstanding shares of Common Stock due to the issuance of shares upon the exercise, vesting or conversion of securities exercisable for, or convertible into, Common Stock outstanding on the date hereof, (iii) as a result of the issuance of Placement Shares, or (iv) any repurchases of capital stock of the Company) and such authorized capital stock conforms to the description thereof set forth in the Registration Statement and the Prospectus. The description of the Common Stock in the Registration Statement and the Prospectus is complete and accurate in all material respects. Other than as set forth or described in or contemplated by the Registration Statement or the Prospectus, as of the dates referred to therein, the Company did not have outstanding any options to purchase, or any rights or warrants to subscribe for, or any securities or obligations convertible into, or exchangeable for, or any contracts or commitments to issue or sell, any shares of capital stock or other securities.</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w:t>
      </w:r>
      <w:r>
        <w:rPr>
          <w:rFonts w:ascii="Times New Roman;Times;Serif" w:hAnsi="Times New Roman;Times;Serif"/>
          <w:b w:val="false"/>
          <w:i w:val="false"/>
          <w:caps w:val="false"/>
          <w:smallCaps w:val="false"/>
          <w:sz w:val="20"/>
          <w:u w:val="single"/>
        </w:rPr>
        <w:t>S-3 Eligibility</w:t>
      </w:r>
      <w:r>
        <w:rPr>
          <w:rFonts w:ascii="Times New Roman;Times;Serif" w:hAnsi="Times New Roman;Times;Serif"/>
          <w:b w:val="false"/>
          <w:i w:val="false"/>
          <w:caps w:val="false"/>
          <w:smallCaps w:val="false"/>
          <w:sz w:val="20"/>
        </w:rPr>
        <w:t>. (i) At the time of filing the Registration Statement and (ii) at the time of the most recent amendment thereto for the purposes of complying with Section 10(a)(3) of the Securities Act (whether such amendment was by post-effective amendment, incorporated report filed pursuant to Section 13 or 15(d) of the Exchange Act or form of prospectus), the Company met the then applicable requirements for use of Form S-3 under the Securities Act. The Company is not a shell company (as defined in Rule 405 under the Securities Act) and has not been a shell company for at least twelve (12) calendar months previously and if it has been a shell company at any time previously, has filed current Form 10 information (as defined in General Instruction I.B.6 of Form S-3) with the Commission at least twelve (12) calendar months previously reflecting its status as an entity that is not a shell company.</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w:t>
      </w:r>
      <w:r>
        <w:rPr>
          <w:rFonts w:ascii="Times New Roman;Times;Serif" w:hAnsi="Times New Roman;Times;Serif"/>
          <w:b w:val="false"/>
          <w:i w:val="false"/>
          <w:caps w:val="false"/>
          <w:smallCaps w:val="false"/>
          <w:sz w:val="20"/>
          <w:u w:val="single"/>
        </w:rPr>
        <w:t>Authorization; Enforceability</w:t>
      </w:r>
      <w:r>
        <w:rPr>
          <w:rFonts w:ascii="Times New Roman;Times;Serif" w:hAnsi="Times New Roman;Times;Serif"/>
          <w:b w:val="false"/>
          <w:i w:val="false"/>
          <w:caps w:val="false"/>
          <w:smallCaps w:val="false"/>
          <w:sz w:val="20"/>
        </w:rPr>
        <w:t xml:space="preserve">. The Company has full corporate power and authority to enter into this Agreement and perform the transactions contemplated hereby. This Agreement has been duly authorized, executed and delivered by the Company and is a valid and binding agreement of the Company enforceable against the Company in accordance with its terms, except to the extent that (i) enforceability may be limited by bankruptcy, insolvency, reorganization, moratorium or similar laws affecting creditors’ rights generally and by general equitable principles and (ii) the indemnification and contribution provisions of </w:t>
      </w: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 xml:space="preserve"> hereof may be limited by federal or state securities laws and public policy considerations in respect thereof.</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6</w:t>
            </w:r>
          </w:p>
        </w:tc>
        <w:tc>
          <w:tcPr>
            <w:tcW w:w="75" w:type="dxa"/>
            <w:tcBorders/>
            <w:vAlign w:val="center"/>
          </w:tcPr>
          <w:p>
            <w:pPr>
              <w:pStyle w:val="TableContents"/>
              <w:bidi w:val="0"/>
              <w:spacing w:before="0" w:after="283"/>
              <w:jc w:val="righ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 </w:t>
      </w:r>
      <w:r>
        <w:rPr>
          <w:rFonts w:ascii="Times New Roman;Times;Serif" w:hAnsi="Times New Roman;Times;Serif"/>
          <w:b w:val="false"/>
          <w:i w:val="false"/>
          <w:caps w:val="false"/>
          <w:smallCaps w:val="false"/>
          <w:sz w:val="20"/>
          <w:u w:val="single"/>
        </w:rPr>
        <w:t>Authorization of Placement Shares</w:t>
      </w:r>
      <w:r>
        <w:rPr>
          <w:rFonts w:ascii="Times New Roman;Times;Serif" w:hAnsi="Times New Roman;Times;Serif"/>
          <w:b w:val="false"/>
          <w:i w:val="false"/>
          <w:caps w:val="false"/>
          <w:smallCaps w:val="false"/>
          <w:sz w:val="20"/>
        </w:rPr>
        <w:t>. The Placement Shares, when issued and delivered pursuant to the terms approved by the board of directors of the Company or a duly authorized committee thereof, or a duly authorized executive officer, against payment therefor as provided herein, will be duly and validly authorized and issued and fully paid and nonassessable, free and clear of any pledge, lien, encumbrance, security interest or other claim (other than any pledge, lien, encumbrance, security interest or other claim arising from an act or omission of A.G.P. or a purchaser), including any statutory or contractual preemptive rights, resale rights, rights of first refusal or other similar rights, and will be registered pursuant to Section 12 of the Exchange Act. The Placement Shares, when issued, will conform in all material respects to the description thereof set forth in or incorporated or deemed incorporated into the Prospectus.</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 </w:t>
      </w:r>
      <w:r>
        <w:rPr>
          <w:rFonts w:ascii="Times New Roman;Times;Serif" w:hAnsi="Times New Roman;Times;Serif"/>
          <w:b w:val="false"/>
          <w:i w:val="false"/>
          <w:caps w:val="false"/>
          <w:smallCaps w:val="false"/>
          <w:sz w:val="20"/>
          <w:u w:val="single"/>
        </w:rPr>
        <w:t>No Consents Required</w:t>
      </w:r>
      <w:r>
        <w:rPr>
          <w:rFonts w:ascii="Times New Roman;Times;Serif" w:hAnsi="Times New Roman;Times;Serif"/>
          <w:b w:val="false"/>
          <w:i w:val="false"/>
          <w:caps w:val="false"/>
          <w:smallCaps w:val="false"/>
          <w:sz w:val="20"/>
        </w:rPr>
        <w:t>. No consent, approval, authorization, order, registration or qualification of or with any court or arbitrator or any governmental or regulatory authority having jurisdiction over the Company is required for the execution, delivery and performance by the Company of this Agreement, and the issuance and sale by the Company of the Placement Shares as contemplated hereby, except for such consents, approvals, authorizations, orders and registrations or qualifications (i) as may be required under applicable state securities laws or by the by-laws and rules of the Financial Industry Regulatory Authority, Inc. (“</w:t>
      </w:r>
      <w:r>
        <w:rPr>
          <w:rFonts w:ascii="Times New Roman;Times;Serif" w:hAnsi="Times New Roman;Times;Serif"/>
          <w:b w:val="false"/>
          <w:i w:val="false"/>
          <w:caps w:val="false"/>
          <w:smallCaps w:val="false"/>
          <w:sz w:val="20"/>
          <w:u w:val="single"/>
        </w:rPr>
        <w:t>FINRA</w:t>
      </w:r>
      <w:r>
        <w:rPr>
          <w:rFonts w:ascii="Times New Roman;Times;Serif" w:hAnsi="Times New Roman;Times;Serif"/>
          <w:b w:val="false"/>
          <w:i w:val="false"/>
          <w:caps w:val="false"/>
          <w:smallCaps w:val="false"/>
          <w:sz w:val="20"/>
        </w:rPr>
        <w:t>”) or the Exchange, including any notices that may be required by the Exchange, in connection with the sale of the Placement Shares by A.G.P., (ii) as may be required under the Securities Act and (iii) as have been previously obtained by the Company.</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 </w:t>
      </w:r>
      <w:r>
        <w:rPr>
          <w:rFonts w:ascii="Times New Roman;Times;Serif" w:hAnsi="Times New Roman;Times;Serif"/>
          <w:b w:val="false"/>
          <w:i w:val="false"/>
          <w:caps w:val="false"/>
          <w:smallCaps w:val="false"/>
          <w:sz w:val="20"/>
          <w:u w:val="single"/>
        </w:rPr>
        <w:t>No Preferential Rights</w:t>
      </w:r>
      <w:r>
        <w:rPr>
          <w:rFonts w:ascii="Times New Roman;Times;Serif" w:hAnsi="Times New Roman;Times;Serif"/>
          <w:b w:val="false"/>
          <w:i w:val="false"/>
          <w:caps w:val="false"/>
          <w:smallCaps w:val="false"/>
          <w:sz w:val="20"/>
        </w:rPr>
        <w:t>. (i) No person, as such term is defined in Rule 1-02 of Regulation S-X promulgated under the Securities Act (each, a “</w:t>
      </w:r>
      <w:r>
        <w:rPr>
          <w:rFonts w:ascii="Times New Roman;Times;Serif" w:hAnsi="Times New Roman;Times;Serif"/>
          <w:b w:val="false"/>
          <w:i w:val="false"/>
          <w:caps w:val="false"/>
          <w:smallCaps w:val="false"/>
          <w:sz w:val="20"/>
          <w:u w:val="single"/>
        </w:rPr>
        <w:t>Person</w:t>
      </w:r>
      <w:r>
        <w:rPr>
          <w:rFonts w:ascii="Times New Roman;Times;Serif" w:hAnsi="Times New Roman;Times;Serif"/>
          <w:b w:val="false"/>
          <w:i w:val="false"/>
          <w:caps w:val="false"/>
          <w:smallCaps w:val="false"/>
          <w:sz w:val="20"/>
        </w:rPr>
        <w:t>”), has the right, contractual or otherwise, to cause the Company to issue or sell to such Person any Common Stock or shares of any other capital stock or other securities of the Company (other than upon the exercise of options or warrants to purchase Common Stock, upon the exercise of options or stock awards that may be granted from time to time under the Company’s equity incentive plans or upon the conversion of convertible securities of the Company), (ii) no Person has any preemptive rights, rights of first refusal, or any other rights (whether pursuant to a “poison pill” provision or otherwise) to purchase any shares of Common Stock or shares of any other capital stock or other securities of the Company from the Company which have not been duly waived with respect to the offering contemplated hereby, (iii) no Person has the right to act as an underwriter or sales agent to the Company in connection with the offer and sale of the Placement Shares, and (iv) no Person has the right, contractual or otherwise, to require the Company to register under the Securities Act any shares of Common Stock or shares of any other capital stock or other securities of the Company, or to include any such shares or other securities in the Registration Statement or the offering contemplated thereby, whether as a result of the filing or effectiveness of the Registration Statement or the sale of the Placement Shares as contemplated thereby or otherwise, except in each case for such rights as have been duly waived or satisfied on or prior to the date hereof.</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 </w:t>
      </w:r>
      <w:r>
        <w:rPr>
          <w:rFonts w:ascii="Times New Roman;Times;Serif" w:hAnsi="Times New Roman;Times;Serif"/>
          <w:b w:val="false"/>
          <w:i w:val="false"/>
          <w:caps w:val="false"/>
          <w:smallCaps w:val="false"/>
          <w:sz w:val="20"/>
          <w:u w:val="single"/>
        </w:rPr>
        <w:t>Independent Public Accountant</w:t>
      </w:r>
      <w:r>
        <w:rPr>
          <w:rFonts w:ascii="Times New Roman;Times;Serif" w:hAnsi="Times New Roman;Times;Serif"/>
          <w:b w:val="false"/>
          <w:i w:val="false"/>
          <w:caps w:val="false"/>
          <w:smallCaps w:val="false"/>
          <w:sz w:val="20"/>
        </w:rPr>
        <w:t>. KPMG LLP (the “</w:t>
      </w:r>
      <w:r>
        <w:rPr>
          <w:rFonts w:ascii="Times New Roman;Times;Serif" w:hAnsi="Times New Roman;Times;Serif"/>
          <w:b w:val="false"/>
          <w:i w:val="false"/>
          <w:caps w:val="false"/>
          <w:smallCaps w:val="false"/>
          <w:sz w:val="20"/>
          <w:u w:val="single"/>
        </w:rPr>
        <w:t>Accountant</w:t>
      </w:r>
      <w:r>
        <w:rPr>
          <w:rFonts w:ascii="Times New Roman;Times;Serif" w:hAnsi="Times New Roman;Times;Serif"/>
          <w:b w:val="false"/>
          <w:i w:val="false"/>
          <w:caps w:val="false"/>
          <w:smallCaps w:val="false"/>
          <w:sz w:val="20"/>
        </w:rPr>
        <w:t>”), whose report on the consolidated financial statements of the Company is filed with the Commission as part of the Company’s most recent Annual Report on Form 10-K filed with the Commission and incorporated into the Registration Statement, are and, during the periods covered by their report, were independent public accountants within the meaning of the Securities Act and the Public Company Accounting Oversight Board (United States). To the Company’s Knowledge, the Accountant is not in violation of the auditor independence requirements of the Sarbanes-Oxley Act of 2002 (the “</w:t>
      </w:r>
      <w:r>
        <w:rPr>
          <w:rFonts w:ascii="Times New Roman;Times;Serif" w:hAnsi="Times New Roman;Times;Serif"/>
          <w:b w:val="false"/>
          <w:i w:val="false"/>
          <w:caps w:val="false"/>
          <w:smallCaps w:val="false"/>
          <w:sz w:val="20"/>
          <w:u w:val="single"/>
        </w:rPr>
        <w:t>Sarbanes-Oxley Act</w:t>
      </w:r>
      <w:r>
        <w:rPr>
          <w:rFonts w:ascii="Times New Roman;Times;Serif" w:hAnsi="Times New Roman;Times;Serif"/>
          <w:b w:val="false"/>
          <w:i w:val="false"/>
          <w:caps w:val="false"/>
          <w:smallCaps w:val="false"/>
          <w:sz w:val="20"/>
        </w:rPr>
        <w:t>”) with respect to the Company.</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q. </w:t>
      </w:r>
      <w:r>
        <w:rPr>
          <w:rFonts w:ascii="Times New Roman;Times;Serif" w:hAnsi="Times New Roman;Times;Serif"/>
          <w:b w:val="false"/>
          <w:i w:val="false"/>
          <w:caps w:val="false"/>
          <w:smallCaps w:val="false"/>
          <w:sz w:val="20"/>
          <w:u w:val="single"/>
        </w:rPr>
        <w:t>Enforceability of Agreements</w:t>
      </w:r>
      <w:r>
        <w:rPr>
          <w:rFonts w:ascii="Times New Roman;Times;Serif" w:hAnsi="Times New Roman;Times;Serif"/>
          <w:b w:val="false"/>
          <w:i w:val="false"/>
          <w:caps w:val="false"/>
          <w:smallCaps w:val="false"/>
          <w:sz w:val="20"/>
        </w:rPr>
        <w:t>. To the Company’s Knowledge, all agreements between the Company and third parties expressly referenced in the Prospectus, other than such agreements that have expired by their terms or whose termination is disclosed in documents filed by the Company on EDGAR, are valid and binding obligations of the Company, enforceable in accordance with their respective terms, except (i) to the extent that (A) enforceability may be limited by bankruptcy, insolvency, reorganization, moratorium or similar laws affecting creditors’ rights generally and by general equitable principles and (B) the indemnification provisions of certain agreements may be limited by federal or state securities laws or public policy considerations in respect thereof and (ii) for any unenforceability that, individually or in the aggregate, would not have a Material Adverse Effect.</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7</w:t>
            </w:r>
          </w:p>
        </w:tc>
        <w:tc>
          <w:tcPr>
            <w:tcW w:w="75" w:type="dxa"/>
            <w:tcBorders/>
            <w:vAlign w:val="center"/>
          </w:tcPr>
          <w:p>
            <w:pPr>
              <w:pStyle w:val="TableContents"/>
              <w:bidi w:val="0"/>
              <w:spacing w:before="0" w:after="283"/>
              <w:jc w:val="righ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 </w:t>
      </w:r>
      <w:r>
        <w:rPr>
          <w:rFonts w:ascii="Times New Roman;Times;Serif" w:hAnsi="Times New Roman;Times;Serif"/>
          <w:b w:val="false"/>
          <w:i w:val="false"/>
          <w:caps w:val="false"/>
          <w:smallCaps w:val="false"/>
          <w:sz w:val="20"/>
          <w:u w:val="single"/>
        </w:rPr>
        <w:t>No Litigation</w:t>
      </w:r>
      <w:r>
        <w:rPr>
          <w:rFonts w:ascii="Times New Roman;Times;Serif" w:hAnsi="Times New Roman;Times;Serif"/>
          <w:b w:val="false"/>
          <w:i w:val="false"/>
          <w:caps w:val="false"/>
          <w:smallCaps w:val="false"/>
          <w:sz w:val="20"/>
        </w:rPr>
        <w:t>. There are no legal, governmental or regulatory actions, suits or proceedings pending, nor, to the Company’s Knowledge, any legal, governmental or regulatory investigations, to which the Company or a Subsidiary is a party or to which any property of the Company or any Subsidiary is the subject that, individually or in the aggregate, if determined adversely to the Company or any Subsidiary, would have a Material Adverse Effect or materially and adversely affect the ability of the Company to perform its obligations under this Agreement; to the Company’s Knowledge, no such actions, suits or proceedings are threatened or contemplated by any governmental or regulatory authority or threatened by others that, individually or in the aggregate, if determined adversely to the Company or any Subsidiary, would have a Material Adverse Effect; and there are no current or pending legal, governmental or regulatory actions, suits, proceedings or, to the Company’s Knowledge, investigations that are required under the Securities Act to be described in the Prospectus that are not described in the Prospectus (including any Incorporated Document). The Company and the Subsidiaries are in compliance with all applicable federal, state, local and foreign laws, regulations, orders and decrees governing their business, except where noncompliance would not, singularly or in the aggregate, would have a Material Adverse Effect.</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w:t>
      </w:r>
      <w:r>
        <w:rPr>
          <w:rFonts w:ascii="Times New Roman;Times;Serif" w:hAnsi="Times New Roman;Times;Serif"/>
          <w:b w:val="false"/>
          <w:i w:val="false"/>
          <w:caps w:val="false"/>
          <w:smallCaps w:val="false"/>
          <w:sz w:val="20"/>
          <w:u w:val="single"/>
        </w:rPr>
        <w:t>Licenses and Permits</w:t>
      </w:r>
      <w:r>
        <w:rPr>
          <w:rFonts w:ascii="Times New Roman;Times;Serif" w:hAnsi="Times New Roman;Times;Serif"/>
          <w:b w:val="false"/>
          <w:i w:val="false"/>
          <w:caps w:val="false"/>
          <w:smallCaps w:val="false"/>
          <w:sz w:val="20"/>
        </w:rPr>
        <w:t>. Except as disclosed in the Registration Statement or Prospectus (including the Incorporated Documents), the Company and its Subsidiaries possess and have obtained all licenses, certificates, consents, orders, approvals, permits and other authorizations issued by, and have made all declarations and filings with, the appropriate federal, state, local or foreign governmental or regulatory authorities that are necessary for the ownership or lease of their respective properties or the conduct of their respective businesses as described in the Registration Statement and the Prospectus (the “</w:t>
      </w:r>
      <w:r>
        <w:rPr>
          <w:rFonts w:ascii="Times New Roman;Times;Serif" w:hAnsi="Times New Roman;Times;Serif"/>
          <w:b w:val="false"/>
          <w:i w:val="false"/>
          <w:caps w:val="false"/>
          <w:smallCaps w:val="false"/>
          <w:sz w:val="20"/>
          <w:u w:val="single"/>
        </w:rPr>
        <w:t>Permits</w:t>
      </w:r>
      <w:r>
        <w:rPr>
          <w:rFonts w:ascii="Times New Roman;Times;Serif" w:hAnsi="Times New Roman;Times;Serif"/>
          <w:b w:val="false"/>
          <w:i w:val="false"/>
          <w:caps w:val="false"/>
          <w:smallCaps w:val="false"/>
          <w:sz w:val="20"/>
        </w:rPr>
        <w:t>”), except where the failure to possess, obtain or make the same would not, individually or in the aggregate, would have a Material Adverse Effect. The Company and its Subsidiaries have not received written notice of any proceeding relating to revocation or modification of any such Permit or has any reason to believe that such Permit will not be renewed in the ordinary course, except where the failure to obtain any such renewal would not, individually or in the aggregate, have a Material Adverse Effect.</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 </w:t>
      </w:r>
      <w:r>
        <w:rPr>
          <w:rFonts w:ascii="Times New Roman;Times;Serif" w:hAnsi="Times New Roman;Times;Serif"/>
          <w:b w:val="false"/>
          <w:i w:val="false"/>
          <w:caps w:val="false"/>
          <w:smallCaps w:val="false"/>
          <w:sz w:val="20"/>
          <w:u w:val="single"/>
        </w:rPr>
        <w:t>No Material Defaults</w:t>
      </w:r>
      <w:r>
        <w:rPr>
          <w:rFonts w:ascii="Times New Roman;Times;Serif" w:hAnsi="Times New Roman;Times;Serif"/>
          <w:b w:val="false"/>
          <w:i w:val="false"/>
          <w:caps w:val="false"/>
          <w:smallCaps w:val="false"/>
          <w:sz w:val="20"/>
        </w:rPr>
        <w:t>. Neither the Company nor any Subsidiary has defaulted on any installment on indebtedness for borrowed money or on any rental on one or more long-term leases, which defaults, individually or in the aggregate, would have a Material Adverse Effect. The Company has not filed a report pursuant to Section 13(a) or 15(d) of the Exchange Act since the filing of its last Annual Report on Form 10-K, indicating that it (i) has failed to pay any dividend or sinking fund installment on preferred stock or (ii) has defaulted on any installment on indebtedness for borrowed money or on any rental on one or more long-term leases, which defaults, individually or in the aggregate, has had or would have a Material Adverse Effect.</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 </w:t>
      </w:r>
      <w:r>
        <w:rPr>
          <w:rFonts w:ascii="Times New Roman;Times;Serif" w:hAnsi="Times New Roman;Times;Serif"/>
          <w:b w:val="false"/>
          <w:i w:val="false"/>
          <w:caps w:val="false"/>
          <w:smallCaps w:val="false"/>
          <w:sz w:val="20"/>
          <w:u w:val="single"/>
        </w:rPr>
        <w:t>Certain Market Activities</w:t>
      </w:r>
      <w:r>
        <w:rPr>
          <w:rFonts w:ascii="Times New Roman;Times;Serif" w:hAnsi="Times New Roman;Times;Serif"/>
          <w:b w:val="false"/>
          <w:i w:val="false"/>
          <w:caps w:val="false"/>
          <w:smallCaps w:val="false"/>
          <w:sz w:val="20"/>
        </w:rPr>
        <w:t>. Neither the Company, nor any Subsidiary, nor, to the Knowledge of the Company, any of their respective directors, officers or controlling persons has taken, directly or indirectly, any action designed, or that has constituted or would reasonably be expected to cause or result in, under the Exchange Act or otherwise, the stabilization or manipulation of the price of any security of the Company to facilitate the sale or resale of the Placement Shares.</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w:t>
      </w:r>
      <w:r>
        <w:rPr>
          <w:rFonts w:ascii="Times New Roman;Times;Serif" w:hAnsi="Times New Roman;Times;Serif"/>
          <w:b w:val="false"/>
          <w:i w:val="false"/>
          <w:caps w:val="false"/>
          <w:smallCaps w:val="false"/>
          <w:sz w:val="20"/>
          <w:u w:val="single"/>
        </w:rPr>
        <w:t>Broker/Dealer Relationships</w:t>
      </w:r>
      <w:r>
        <w:rPr>
          <w:rFonts w:ascii="Times New Roman;Times;Serif" w:hAnsi="Times New Roman;Times;Serif"/>
          <w:b w:val="false"/>
          <w:i w:val="false"/>
          <w:caps w:val="false"/>
          <w:smallCaps w:val="false"/>
          <w:sz w:val="20"/>
        </w:rPr>
        <w:t>. Neither the Company nor any Subsidiary or any related entities (i) is required to register as a “broker” or “dealer” in accordance with the provisions of the Exchange Act or (ii) directly or indirectly through one or more intermediaries, controls or is a “person associated with a member” or “associated person of a member” (within the meaning set forth in the FINRA Manual).</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 </w:t>
      </w:r>
      <w:r>
        <w:rPr>
          <w:rFonts w:ascii="Times New Roman;Times;Serif" w:hAnsi="Times New Roman;Times;Serif"/>
          <w:b w:val="false"/>
          <w:i w:val="false"/>
          <w:caps w:val="false"/>
          <w:smallCaps w:val="false"/>
          <w:sz w:val="20"/>
          <w:u w:val="single"/>
        </w:rPr>
        <w:t>No Reliance</w:t>
      </w:r>
      <w:r>
        <w:rPr>
          <w:rFonts w:ascii="Times New Roman;Times;Serif" w:hAnsi="Times New Roman;Times;Serif"/>
          <w:b w:val="false"/>
          <w:i w:val="false"/>
          <w:caps w:val="false"/>
          <w:smallCaps w:val="false"/>
          <w:sz w:val="20"/>
        </w:rPr>
        <w:t>. The Company has not relied upon A.G.P. or legal counsel for A.G.P. for any legal, tax or accounting advice in connection with the offering and sale of the Placement Shares.</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 </w:t>
      </w:r>
      <w:r>
        <w:rPr>
          <w:rFonts w:ascii="Times New Roman;Times;Serif" w:hAnsi="Times New Roman;Times;Serif"/>
          <w:b w:val="false"/>
          <w:i w:val="false"/>
          <w:caps w:val="false"/>
          <w:smallCaps w:val="false"/>
          <w:sz w:val="20"/>
          <w:u w:val="single"/>
        </w:rPr>
        <w:t>Taxes</w:t>
      </w:r>
      <w:r>
        <w:rPr>
          <w:rFonts w:ascii="Times New Roman;Times;Serif" w:hAnsi="Times New Roman;Times;Serif"/>
          <w:b w:val="false"/>
          <w:i w:val="false"/>
          <w:caps w:val="false"/>
          <w:smallCaps w:val="false"/>
          <w:sz w:val="20"/>
        </w:rPr>
        <w:t>. The Company and the Subsidiaries have filed all federal, state, local and foreign tax returns which have been required to be filed and paid all taxes shown thereon through the date hereof, to the extent that such taxes have become due and are not being contested in good faith, except where the failure to do so would not have a Material Adverse Effect. Except as otherwise disclosed in or contemplated by the Registration Statement or the Prospectus, no tax deficiency has been determined adversely to the Company or any Subsidiary which has had, or would have, individually or in the aggregate, a Material Adverse Effect. The Company has no Knowledge of any federal, state or other governmental tax deficiency, penalty or assessment which has been asserted or threatened against it which would have a Material Adverse Effect.</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8</w:t>
            </w:r>
          </w:p>
        </w:tc>
        <w:tc>
          <w:tcPr>
            <w:tcW w:w="75" w:type="dxa"/>
            <w:tcBorders/>
            <w:vAlign w:val="center"/>
          </w:tcPr>
          <w:p>
            <w:pPr>
              <w:pStyle w:val="TableContents"/>
              <w:bidi w:val="0"/>
              <w:spacing w:before="0" w:after="283"/>
              <w:jc w:val="righ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y. </w:t>
      </w:r>
      <w:r>
        <w:rPr>
          <w:rFonts w:ascii="Times New Roman;Times;Serif" w:hAnsi="Times New Roman;Times;Serif"/>
          <w:b w:val="false"/>
          <w:i w:val="false"/>
          <w:caps w:val="false"/>
          <w:smallCaps w:val="false"/>
          <w:sz w:val="20"/>
          <w:u w:val="single"/>
        </w:rPr>
        <w:t>Title to Real and Personal Property</w:t>
      </w:r>
      <w:r>
        <w:rPr>
          <w:rFonts w:ascii="Times New Roman;Times;Serif" w:hAnsi="Times New Roman;Times;Serif"/>
          <w:b w:val="false"/>
          <w:i w:val="false"/>
          <w:caps w:val="false"/>
          <w:smallCaps w:val="false"/>
          <w:sz w:val="20"/>
        </w:rPr>
        <w:t>. The Company and the Subsidiaries have good and valid title to all items of real property and good and valid title to all personal property described in the Registration Statement or Prospectus as being owned by them that are material to the businesses of the Company or such Subsidiary, in each case free and clear of all liens, encumbrances and claims, except those that (i) do not materially interfere with the use made and proposed to be made of such property by the Company and the Subsidiaries or (ii) would not, individually or in the aggregate, have a Material Adverse Effect. Any real property described in the Registration Statement or Prospectus as being leased by the Company and the Subsidiaries is held by them under valid, existing and enforceable leases, except those that (A) do not materially interfere with the use made or proposed to be made of such property by the Company or the Subsidiaries or (B) would not, individually or in the aggregate, have a Material Adverse Effect.</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z. </w:t>
      </w:r>
      <w:r>
        <w:rPr>
          <w:rFonts w:ascii="Times New Roman;Times;Serif" w:hAnsi="Times New Roman;Times;Serif"/>
          <w:b w:val="false"/>
          <w:i w:val="false"/>
          <w:caps w:val="false"/>
          <w:smallCaps w:val="false"/>
          <w:sz w:val="20"/>
          <w:u w:val="single"/>
        </w:rPr>
        <w:t>Intellectual Property</w:t>
      </w:r>
      <w:r>
        <w:rPr>
          <w:rFonts w:ascii="Times New Roman;Times;Serif" w:hAnsi="Times New Roman;Times;Serif"/>
          <w:b w:val="false"/>
          <w:i w:val="false"/>
          <w:caps w:val="false"/>
          <w:smallCaps w:val="false"/>
          <w:sz w:val="20"/>
        </w:rPr>
        <w:t>. The Company and the Subsidiaries own or possess, or can acquire, adequate rights to use all patents, patent applications, trademarks (both registered and unregistered), trade names, trademark registrations, service marks, service mark registrations, Internet domain name registrations, copyrights, copyright registrations, licenses and know-how (including trade secrets and other unpatented and/or unpatentable proprietary or confidential information, systems or procedures) (collectively, “</w:t>
      </w:r>
      <w:r>
        <w:rPr>
          <w:rFonts w:ascii="Times New Roman;Times;Serif" w:hAnsi="Times New Roman;Times;Serif"/>
          <w:b w:val="false"/>
          <w:i w:val="false"/>
          <w:caps w:val="false"/>
          <w:smallCaps w:val="false"/>
          <w:sz w:val="20"/>
          <w:u w:val="single"/>
        </w:rPr>
        <w:t>Intellectual Property</w:t>
      </w:r>
      <w:r>
        <w:rPr>
          <w:rFonts w:ascii="Times New Roman;Times;Serif" w:hAnsi="Times New Roman;Times;Serif"/>
          <w:b w:val="false"/>
          <w:i w:val="false"/>
          <w:caps w:val="false"/>
          <w:smallCaps w:val="false"/>
          <w:sz w:val="20"/>
        </w:rPr>
        <w:t>”), necessary for the conduct of their respective businesses as conducted as of the date hereof, except to the extent that the failure to own or possess adequate rights to use such Intellectual Property would not, individually or in the aggregate, have a Material Adverse Effect. (i) Neither the Company nor the Subsidiaries have received any written notice of any claim of infringement or conflict with asserted Intellectual Property rights of others, (ii) there are no pending, or to the Company’s Knowledge, threatened judicial actions, suits or proceedings against the Company or any of the Subsidiaries regarding the subject matter of the foregoing clause (i), and (iii) there is no pending, or to the Company’s Knowledge, threatened judicial proceeding or interference proceeding which would render any Intellectual Property owned by the Company or any of the Subsidiaries invalid or unenforceable, with respect to items (i)-(iii), except (A) as otherwise described in the Registration Statement and the Prospectus, and (B) as would not, individually or in the aggregate, result in a Material Adverse Effect.</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aa. </w:t>
      </w:r>
      <w:r>
        <w:rPr>
          <w:rFonts w:ascii="Times New Roman;Times;Serif" w:hAnsi="Times New Roman;Times;Serif"/>
          <w:b w:val="false"/>
          <w:i w:val="false"/>
          <w:caps w:val="false"/>
          <w:smallCaps w:val="false"/>
          <w:sz w:val="20"/>
          <w:u w:val="single"/>
        </w:rPr>
        <w:t>Compliance with Applicable Laws</w:t>
      </w:r>
      <w:r>
        <w:rPr>
          <w:rFonts w:ascii="Times New Roman;Times;Serif" w:hAnsi="Times New Roman;Times;Serif"/>
          <w:b w:val="false"/>
          <w:i w:val="false"/>
          <w:caps w:val="false"/>
          <w:smallCaps w:val="false"/>
          <w:sz w:val="20"/>
        </w:rPr>
        <w:t>. The Company has not been advised, and has no reason to believe, that it and each of its Subsidiaries are not conducting business in compliance with all applicable laws, rules and regulations of the jurisdictions in which it is conducting business, except where failure to be so in compliance would not result in a Material Adverse Effect.</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bb. </w:t>
      </w:r>
      <w:r>
        <w:rPr>
          <w:rFonts w:ascii="Times New Roman;Times;Serif" w:hAnsi="Times New Roman;Times;Serif"/>
          <w:b w:val="false"/>
          <w:i w:val="false"/>
          <w:caps w:val="false"/>
          <w:smallCaps w:val="false"/>
          <w:sz w:val="20"/>
          <w:u w:val="single"/>
        </w:rPr>
        <w:t>Environmental Laws</w:t>
      </w:r>
      <w:r>
        <w:rPr>
          <w:rFonts w:ascii="Times New Roman;Times;Serif" w:hAnsi="Times New Roman;Times;Serif"/>
          <w:b w:val="false"/>
          <w:i w:val="false"/>
          <w:caps w:val="false"/>
          <w:smallCaps w:val="false"/>
          <w:sz w:val="20"/>
        </w:rPr>
        <w:t>. The Company and the Subsidiaries: (i) are in compliance with any and all applicable federal, state, local and foreign laws, rules, regulations, decisions and orders relating to the protection of human health and safety, the environment or hazardous or toxic substances or wastes, pollutants or contaminants (collectively, “</w:t>
      </w:r>
      <w:r>
        <w:rPr>
          <w:rFonts w:ascii="Times New Roman;Times;Serif" w:hAnsi="Times New Roman;Times;Serif"/>
          <w:b w:val="false"/>
          <w:i w:val="false"/>
          <w:caps w:val="false"/>
          <w:smallCaps w:val="false"/>
          <w:sz w:val="20"/>
          <w:u w:val="single"/>
        </w:rPr>
        <w:t>Environmental Laws</w:t>
      </w:r>
      <w:r>
        <w:rPr>
          <w:rFonts w:ascii="Times New Roman;Times;Serif" w:hAnsi="Times New Roman;Times;Serif"/>
          <w:b w:val="false"/>
          <w:i w:val="false"/>
          <w:caps w:val="false"/>
          <w:smallCaps w:val="false"/>
          <w:sz w:val="20"/>
        </w:rPr>
        <w:t>”); (ii) have received and are in compliance with all permits, licenses or other approvals required of them under applicable Environmental Laws to conduct their respective businesses as described in the Registration Statement and the Prospectus; and (iii) have not received notice of any actual or potential liability for the investigation or remediation of any disposal or release of hazardous or toxic substances or wastes, pollutants or contaminants, except, in the case of any of clauses (i), (ii) or (iii) above, for any such failure to comply or failure to receive required permits, licenses or other approvals, or liability as would not, individually or in the aggregate, have a Material Adverse Effect.</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cc. </w:t>
      </w:r>
      <w:r>
        <w:rPr>
          <w:rFonts w:ascii="Times New Roman;Times;Serif" w:hAnsi="Times New Roman;Times;Serif"/>
          <w:b w:val="false"/>
          <w:i w:val="false"/>
          <w:caps w:val="false"/>
          <w:smallCaps w:val="false"/>
          <w:sz w:val="20"/>
          <w:u w:val="single"/>
        </w:rPr>
        <w:t>Disclosure Controls</w:t>
      </w:r>
      <w:r>
        <w:rPr>
          <w:rFonts w:ascii="Times New Roman;Times;Serif" w:hAnsi="Times New Roman;Times;Serif"/>
          <w:b w:val="false"/>
          <w:i w:val="false"/>
          <w:caps w:val="false"/>
          <w:smallCaps w:val="false"/>
          <w:sz w:val="20"/>
        </w:rPr>
        <w:t>. The Company maintains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The Company is not aware of any material weaknesses in its internal control over financial reporting (other than as set forth in the Registration Statement or the Prospectus). Since the date of the latest audited financial statements of the Company included in the Prospectus, there has been no change in the Company’s internal control over financial reporting that has materially affected the Company’s internal control over financial reporting (other than as set forth in the Registration Statement or the Prospectus). The Company has established disclosure controls and procedures (as defined in Exchange Act Rules 13a-15 and 15d-15) that comply with the requirements of the Exchange Act. The Company’s certifying officers have evaluated the effectiveness of the Company’s controls and procedures as of a date within ninety (90) days prior to the filing date of the Annual Report on Form 10-K for the fiscal year most recently ended (such date, the “</w:t>
      </w:r>
      <w:r>
        <w:rPr>
          <w:rFonts w:ascii="Times New Roman;Times;Serif" w:hAnsi="Times New Roman;Times;Serif"/>
          <w:b w:val="false"/>
          <w:i w:val="false"/>
          <w:caps w:val="false"/>
          <w:smallCaps w:val="false"/>
          <w:sz w:val="20"/>
          <w:u w:val="single"/>
        </w:rPr>
        <w:t>Evaluation Date</w:t>
      </w:r>
      <w:r>
        <w:rPr>
          <w:rFonts w:ascii="Times New Roman;Times;Serif" w:hAnsi="Times New Roman;Times;Serif"/>
          <w:b w:val="false"/>
          <w:i w:val="false"/>
          <w:caps w:val="false"/>
          <w:smallCaps w:val="false"/>
          <w:sz w:val="20"/>
        </w:rPr>
        <w:t>”). The Company presented in its Annual Report on Form 10-K for the fiscal year most recently ended the conclusions of the certifying officers about the effectiveness of the disclosure controls and procedures based on their evaluations as of the most recent Evaluation Date, and stated that such “disclosure controls and procedures” are effective as of such Evaluation Date.</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9</w:t>
            </w:r>
          </w:p>
        </w:tc>
        <w:tc>
          <w:tcPr>
            <w:tcW w:w="75" w:type="dxa"/>
            <w:tcBorders/>
            <w:vAlign w:val="center"/>
          </w:tcPr>
          <w:p>
            <w:pPr>
              <w:pStyle w:val="TableContents"/>
              <w:bidi w:val="0"/>
              <w:spacing w:before="0" w:after="283"/>
              <w:jc w:val="righ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dd. </w:t>
      </w:r>
      <w:r>
        <w:rPr>
          <w:rFonts w:ascii="Times New Roman;Times;Serif" w:hAnsi="Times New Roman;Times;Serif"/>
          <w:b w:val="false"/>
          <w:i w:val="false"/>
          <w:caps w:val="false"/>
          <w:smallCaps w:val="false"/>
          <w:sz w:val="20"/>
          <w:u w:val="single"/>
        </w:rPr>
        <w:t>Sarbanes-Oxley Act</w:t>
      </w:r>
      <w:r>
        <w:rPr>
          <w:rFonts w:ascii="Times New Roman;Times;Serif" w:hAnsi="Times New Roman;Times;Serif"/>
          <w:b w:val="false"/>
          <w:i w:val="false"/>
          <w:caps w:val="false"/>
          <w:smallCaps w:val="false"/>
          <w:sz w:val="20"/>
        </w:rPr>
        <w:t>. There is and has been no failure on the part of the Company or, to the Knowledge of the Company, any of the Company’s directors or officers, in their capacities as such, to comply in all material respects with any applicable provisions of the Sarbanes-Oxley Act and the rules and regulations promulgated thereunder. Each of the principal executive officer and the principal financial officer of the Company (or each former principal executive officer of the Company and each former principal financial officer of the Company as applicable) has made all certifications required by Sections 302 and 906 of the Sarbanes-Oxley Act with respect to all reports, schedules, forms, statements and other documents required to be filed by it or furnished by it to the Commission during the past twelve (12) months. For purposes of the preceding sentence, “principal executive officer” and “principal financial officer” shall have the meanings given to such terms in the Exchange Act Rules 13a-15 and 15d-15.</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ee. </w:t>
      </w:r>
      <w:r>
        <w:rPr>
          <w:rFonts w:ascii="Times New Roman;Times;Serif" w:hAnsi="Times New Roman;Times;Serif"/>
          <w:b w:val="false"/>
          <w:i w:val="false"/>
          <w:caps w:val="false"/>
          <w:smallCaps w:val="false"/>
          <w:sz w:val="20"/>
          <w:u w:val="single"/>
        </w:rPr>
        <w:t>Finder’s Fees</w:t>
      </w:r>
      <w:r>
        <w:rPr>
          <w:rFonts w:ascii="Times New Roman;Times;Serif" w:hAnsi="Times New Roman;Times;Serif"/>
          <w:b w:val="false"/>
          <w:i w:val="false"/>
          <w:caps w:val="false"/>
          <w:smallCaps w:val="false"/>
          <w:sz w:val="20"/>
        </w:rPr>
        <w:t>. Neither the Company nor any Subsidiary has incurred any liability for any finder’s fees, brokerage commissions or similar payments in connection with the transactions herein contemplated, except as may otherwise exist with respect to A.G.P. pursuant to this Agreement and except for the financial advisory fee payable to Craig-Hallum Capital Group LLC in connection with the transactions contemplated by this Agreement, as described in the Prospectus Supplement.</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ff. </w:t>
      </w:r>
      <w:r>
        <w:rPr>
          <w:rFonts w:ascii="Times New Roman;Times;Serif" w:hAnsi="Times New Roman;Times;Serif"/>
          <w:b w:val="false"/>
          <w:i w:val="false"/>
          <w:caps w:val="false"/>
          <w:smallCaps w:val="false"/>
          <w:sz w:val="20"/>
          <w:u w:val="single"/>
        </w:rPr>
        <w:t>Labor Disputes</w:t>
      </w:r>
      <w:r>
        <w:rPr>
          <w:rFonts w:ascii="Times New Roman;Times;Serif" w:hAnsi="Times New Roman;Times;Serif"/>
          <w:b w:val="false"/>
          <w:i w:val="false"/>
          <w:caps w:val="false"/>
          <w:smallCaps w:val="false"/>
          <w:sz w:val="20"/>
        </w:rPr>
        <w:t>. No labor disturbance by or dispute with employees of the Company or any Subsidiary exists or, to the Knowledge of the Company, is threatened which would result in a Material Adverse Effect.</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gg. </w:t>
      </w:r>
      <w:r>
        <w:rPr>
          <w:rFonts w:ascii="Times New Roman;Times;Serif" w:hAnsi="Times New Roman;Times;Serif"/>
          <w:b w:val="false"/>
          <w:i w:val="false"/>
          <w:caps w:val="false"/>
          <w:smallCaps w:val="false"/>
          <w:sz w:val="20"/>
          <w:u w:val="single"/>
        </w:rPr>
        <w:t>Investment Company Act</w:t>
      </w:r>
      <w:r>
        <w:rPr>
          <w:rFonts w:ascii="Times New Roman;Times;Serif" w:hAnsi="Times New Roman;Times;Serif"/>
          <w:b w:val="false"/>
          <w:i w:val="false"/>
          <w:caps w:val="false"/>
          <w:smallCaps w:val="false"/>
          <w:sz w:val="20"/>
        </w:rPr>
        <w:t>. Neither the Company nor any Subsidiary is or, after giving effect to the offering and sale of the Placement Shares, will be required to register as an “investment company” or an entity “controlled” by an “investment company,” as such terms are defined in the Investment Company Act of 1940, as amended (the “</w:t>
      </w:r>
      <w:r>
        <w:rPr>
          <w:rFonts w:ascii="Times New Roman;Times;Serif" w:hAnsi="Times New Roman;Times;Serif"/>
          <w:b w:val="false"/>
          <w:i w:val="false"/>
          <w:caps w:val="false"/>
          <w:smallCaps w:val="false"/>
          <w:sz w:val="20"/>
          <w:u w:val="single"/>
        </w:rPr>
        <w:t>Investment Company Act</w:t>
      </w:r>
      <w:r>
        <w:rPr>
          <w:rFonts w:ascii="Times New Roman;Times;Serif" w:hAnsi="Times New Roman;Times;Serif"/>
          <w:b w:val="false"/>
          <w:i w:val="false"/>
          <w:caps w:val="false"/>
          <w:smallCaps w:val="false"/>
          <w:sz w:val="20"/>
        </w:rPr>
        <w:t>”).</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hh. </w:t>
      </w:r>
      <w:r>
        <w:rPr>
          <w:rFonts w:ascii="Times New Roman;Times;Serif" w:hAnsi="Times New Roman;Times;Serif"/>
          <w:b w:val="false"/>
          <w:i w:val="false"/>
          <w:caps w:val="false"/>
          <w:smallCaps w:val="false"/>
          <w:sz w:val="20"/>
          <w:u w:val="single"/>
        </w:rPr>
        <w:t>Operations</w:t>
      </w:r>
      <w:r>
        <w:rPr>
          <w:rFonts w:ascii="Times New Roman;Times;Serif" w:hAnsi="Times New Roman;Times;Serif"/>
          <w:b w:val="false"/>
          <w:i w:val="false"/>
          <w:caps w:val="false"/>
          <w:smallCaps w:val="false"/>
          <w:sz w:val="20"/>
        </w:rPr>
        <w:t>. The operations of the Company and the Subsidiaries are and have been conducted at all times in compliance with applicable financial record keeping and reporting requirements of the Currency and Foreign Transactions Reporting Act of 1970, as amended, the money laundering statutes of all jurisdictions to which the Company or the Subsidiaries are subject, the rules and regulations thereunder and any related or similar rules, regulations or guidelines, issued, administered or enforced by any governmental agency or authority having jurisdiction over the Company or any Subsidiary (collectively, the “</w:t>
      </w:r>
      <w:r>
        <w:rPr>
          <w:rFonts w:ascii="Times New Roman;Times;Serif" w:hAnsi="Times New Roman;Times;Serif"/>
          <w:b w:val="false"/>
          <w:i w:val="false"/>
          <w:caps w:val="false"/>
          <w:smallCaps w:val="false"/>
          <w:sz w:val="20"/>
          <w:u w:val="single"/>
        </w:rPr>
        <w:t>Money Laundering Laws</w:t>
      </w:r>
      <w:r>
        <w:rPr>
          <w:rFonts w:ascii="Times New Roman;Times;Serif" w:hAnsi="Times New Roman;Times;Serif"/>
          <w:b w:val="false"/>
          <w:i w:val="false"/>
          <w:caps w:val="false"/>
          <w:smallCaps w:val="false"/>
          <w:sz w:val="20"/>
        </w:rPr>
        <w:t>”), except where the failure to be in such compliance would not result in a Material Adverse Effect; and no action, suit or proceeding by or before any court or arbitrator or governmental agency, authority or body having jurisdiction over the Company or any Subsidiary involving the Company or any Subsidiary with respect to any Money Laundering Laws is pending or, to the Knowledge of the Company, threatened.</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val="false"/>
          <w:caps w:val="false"/>
          <w:smallCaps w:val="false"/>
          <w:sz w:val="20"/>
          <w:u w:val="single"/>
        </w:rPr>
        <w:t>Off-Balance Sheet Arrangements</w:t>
      </w:r>
      <w:r>
        <w:rPr>
          <w:rFonts w:ascii="Times New Roman;Times;Serif" w:hAnsi="Times New Roman;Times;Serif"/>
          <w:b w:val="false"/>
          <w:i w:val="false"/>
          <w:caps w:val="false"/>
          <w:smallCaps w:val="false"/>
          <w:sz w:val="20"/>
        </w:rPr>
        <w:t>. There are no transactions, arrangements or other relationships between and/or among the Company, and/or, to the Knowledge of the Company, any of its affiliates and any unconsolidated entity, including, but not limited to, any structured finance, special purpose or limited purpose entity (each, an “</w:t>
      </w:r>
      <w:r>
        <w:rPr>
          <w:rFonts w:ascii="Times New Roman;Times;Serif" w:hAnsi="Times New Roman;Times;Serif"/>
          <w:b w:val="false"/>
          <w:i w:val="false"/>
          <w:caps w:val="false"/>
          <w:smallCaps w:val="false"/>
          <w:sz w:val="20"/>
          <w:u w:val="single"/>
        </w:rPr>
        <w:t>Off Balance Sheet Transaction</w:t>
      </w:r>
      <w:r>
        <w:rPr>
          <w:rFonts w:ascii="Times New Roman;Times;Serif" w:hAnsi="Times New Roman;Times;Serif"/>
          <w:b w:val="false"/>
          <w:i w:val="false"/>
          <w:caps w:val="false"/>
          <w:smallCaps w:val="false"/>
          <w:sz w:val="20"/>
        </w:rPr>
        <w:t>”) that would affect materially the Company’s liquidity or the availability of or requirements for its capital resources, including those Off Balance Sheet Transactions described in the Commission’s Statement about Management’s Discussion and Analysis of Financial Conditions and Results of Operations (Release Nos. 33-8056; 34-45321; FR-61), required to be described in the Registration Statement or the Prospectus which have not been described as required.</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jj. </w:t>
      </w:r>
      <w:r>
        <w:rPr>
          <w:rFonts w:ascii="Times New Roman;Times;Serif" w:hAnsi="Times New Roman;Times;Serif"/>
          <w:b w:val="false"/>
          <w:i w:val="false"/>
          <w:caps w:val="false"/>
          <w:smallCaps w:val="false"/>
          <w:sz w:val="20"/>
          <w:u w:val="single"/>
        </w:rPr>
        <w:t>Underwriter Agreements</w:t>
      </w:r>
      <w:r>
        <w:rPr>
          <w:rFonts w:ascii="Times New Roman;Times;Serif" w:hAnsi="Times New Roman;Times;Serif"/>
          <w:b w:val="false"/>
          <w:i w:val="false"/>
          <w:caps w:val="false"/>
          <w:smallCaps w:val="false"/>
          <w:sz w:val="20"/>
        </w:rPr>
        <w:t>. The Company is not a party to any agreement with an agent or underwriter for any other “at the market” or continuous equity transaction.</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10</w:t>
            </w:r>
          </w:p>
        </w:tc>
        <w:tc>
          <w:tcPr>
            <w:tcW w:w="75" w:type="dxa"/>
            <w:tcBorders/>
            <w:vAlign w:val="center"/>
          </w:tcPr>
          <w:p>
            <w:pPr>
              <w:pStyle w:val="TableContents"/>
              <w:bidi w:val="0"/>
              <w:spacing w:before="0" w:after="283"/>
              <w:jc w:val="righ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kk. </w:t>
      </w:r>
      <w:r>
        <w:rPr>
          <w:rFonts w:ascii="Times New Roman;Times;Serif" w:hAnsi="Times New Roman;Times;Serif"/>
          <w:b w:val="false"/>
          <w:i w:val="false"/>
          <w:caps w:val="false"/>
          <w:smallCaps w:val="false"/>
          <w:sz w:val="20"/>
          <w:u w:val="single"/>
        </w:rPr>
        <w:t>ERISA</w:t>
      </w:r>
      <w:r>
        <w:rPr>
          <w:rFonts w:ascii="Times New Roman;Times;Serif" w:hAnsi="Times New Roman;Times;Serif"/>
          <w:b w:val="false"/>
          <w:i w:val="false"/>
          <w:caps w:val="false"/>
          <w:smallCaps w:val="false"/>
          <w:sz w:val="20"/>
        </w:rPr>
        <w:t>. To the Knowledge of the Company: (i) each material employee benefit plan, within the meaning of Section 3(3) of the Employee Retirement Income Security Act of 1974, as amended (“</w:t>
      </w:r>
      <w:r>
        <w:rPr>
          <w:rFonts w:ascii="Times New Roman;Times;Serif" w:hAnsi="Times New Roman;Times;Serif"/>
          <w:b w:val="false"/>
          <w:i w:val="false"/>
          <w:caps w:val="false"/>
          <w:smallCaps w:val="false"/>
          <w:sz w:val="20"/>
          <w:u w:val="single"/>
        </w:rPr>
        <w:t>ERISA</w:t>
      </w:r>
      <w:r>
        <w:rPr>
          <w:rFonts w:ascii="Times New Roman;Times;Serif" w:hAnsi="Times New Roman;Times;Serif"/>
          <w:b w:val="false"/>
          <w:i w:val="false"/>
          <w:caps w:val="false"/>
          <w:smallCaps w:val="false"/>
          <w:sz w:val="20"/>
        </w:rPr>
        <w:t>”) that is maintained, administered or contributed to by the Company or any of its affiliates for employees or former employees of the Company and the Subsidiaries has been maintained in material compliance with its terms and the requirements of any applicable statutes, orders, rules and regulations, including but not limited to ERISA and the Internal Revenue Code of 1986, as amended (the “</w:t>
      </w:r>
      <w:r>
        <w:rPr>
          <w:rFonts w:ascii="Times New Roman;Times;Serif" w:hAnsi="Times New Roman;Times;Serif"/>
          <w:b w:val="false"/>
          <w:i w:val="false"/>
          <w:caps w:val="false"/>
          <w:smallCaps w:val="false"/>
          <w:sz w:val="20"/>
          <w:u w:val="single"/>
        </w:rPr>
        <w:t>Code</w:t>
      </w:r>
      <w:r>
        <w:rPr>
          <w:rFonts w:ascii="Times New Roman;Times;Serif" w:hAnsi="Times New Roman;Times;Serif"/>
          <w:b w:val="false"/>
          <w:i w:val="false"/>
          <w:caps w:val="false"/>
          <w:smallCaps w:val="false"/>
          <w:sz w:val="20"/>
        </w:rPr>
        <w:t>”); (ii) no prohibited transaction, within the meaning of Section 406 of ERISA or Section 4975 of the Code, has occurred which would result in a material liability to the Company or any Subsidiary with respect to any such plan excluding transactions effected pursuant to a statutory or administrative exemption; and (iii) for each such plan that is subject to the funding rules of Section 412 of the Code or Section 302 of ERISA, no “accumulated funding deficiency” as defined in Section 412 of the Code has been incurred, whether or not waived, and the fair market value of the assets of each such plan (excluding for these purposes accrued but unpaid contributions) equals or exceeds the present value of all benefits accrued under such plan determined using reasonable actuarial assumptions, other than, in the case of clause (i), (ii) and (iii) above, as would not have a Material Adverse Effect.</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ll. </w:t>
      </w:r>
      <w:r>
        <w:rPr>
          <w:rFonts w:ascii="Times New Roman;Times;Serif" w:hAnsi="Times New Roman;Times;Serif"/>
          <w:b w:val="false"/>
          <w:i w:val="false"/>
          <w:caps w:val="false"/>
          <w:smallCaps w:val="false"/>
          <w:sz w:val="20"/>
          <w:u w:val="single"/>
        </w:rPr>
        <w:t>Forward-Looking Statements</w:t>
      </w:r>
      <w:r>
        <w:rPr>
          <w:rFonts w:ascii="Times New Roman;Times;Serif" w:hAnsi="Times New Roman;Times;Serif"/>
          <w:b w:val="false"/>
          <w:i w:val="false"/>
          <w:caps w:val="false"/>
          <w:smallCaps w:val="false"/>
          <w:sz w:val="20"/>
        </w:rPr>
        <w:t>. No forward-looking statement (within the meaning of Section 27A of the Securities Act and Section 21E of the Exchange Act) (a “</w:t>
      </w:r>
      <w:r>
        <w:rPr>
          <w:rFonts w:ascii="Times New Roman;Times;Serif" w:hAnsi="Times New Roman;Times;Serif"/>
          <w:b w:val="false"/>
          <w:i w:val="false"/>
          <w:caps w:val="false"/>
          <w:smallCaps w:val="false"/>
          <w:sz w:val="20"/>
          <w:u w:val="single"/>
        </w:rPr>
        <w:t>Forward-Looking Statement</w:t>
      </w:r>
      <w:r>
        <w:rPr>
          <w:rFonts w:ascii="Times New Roman;Times;Serif" w:hAnsi="Times New Roman;Times;Serif"/>
          <w:b w:val="false"/>
          <w:i w:val="false"/>
          <w:caps w:val="false"/>
          <w:smallCaps w:val="false"/>
          <w:sz w:val="20"/>
        </w:rPr>
        <w:t>”) contained in the Registration Statement and the Prospectus has been made or reaffirmed without a reasonable basis or has been disclosed other than in good faith.</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mm. </w:t>
      </w:r>
      <w:r>
        <w:rPr>
          <w:rFonts w:ascii="Times New Roman;Times;Serif" w:hAnsi="Times New Roman;Times;Serif"/>
          <w:b w:val="false"/>
          <w:i w:val="false"/>
          <w:caps w:val="false"/>
          <w:smallCaps w:val="false"/>
          <w:sz w:val="20"/>
          <w:u w:val="single"/>
        </w:rPr>
        <w:t>Margin Rules</w:t>
      </w:r>
      <w:r>
        <w:rPr>
          <w:rFonts w:ascii="Times New Roman;Times;Serif" w:hAnsi="Times New Roman;Times;Serif"/>
          <w:b w:val="false"/>
          <w:i w:val="false"/>
          <w:caps w:val="false"/>
          <w:smallCaps w:val="false"/>
          <w:sz w:val="20"/>
        </w:rPr>
        <w:t>. Neither the issuance, sale and delivery of any of the Placement Shares nor the application of the proceeds thereof by the Company as described in the Registration Statement and the Prospectus will violate Regulation T, U or X of the Board of Governors of the Federal Reserve System.</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nn. </w:t>
      </w:r>
      <w:r>
        <w:rPr>
          <w:rFonts w:ascii="Times New Roman;Times;Serif" w:hAnsi="Times New Roman;Times;Serif"/>
          <w:b w:val="false"/>
          <w:i w:val="false"/>
          <w:caps w:val="false"/>
          <w:smallCaps w:val="false"/>
          <w:sz w:val="20"/>
          <w:u w:val="single"/>
        </w:rPr>
        <w:t>Insurance</w:t>
      </w:r>
      <w:r>
        <w:rPr>
          <w:rFonts w:ascii="Times New Roman;Times;Serif" w:hAnsi="Times New Roman;Times;Serif"/>
          <w:b w:val="false"/>
          <w:i w:val="false"/>
          <w:caps w:val="false"/>
          <w:smallCaps w:val="false"/>
          <w:sz w:val="20"/>
        </w:rPr>
        <w:t>. The Company and the Subsidiaries carry, or are covered by, insurance in such amounts and covering such risks as the Company and the Subsidiaries reasonably believe are adequate for the conduct of their business.</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oo. </w:t>
      </w:r>
      <w:r>
        <w:rPr>
          <w:rFonts w:ascii="Times New Roman;Times;Serif" w:hAnsi="Times New Roman;Times;Serif"/>
          <w:b w:val="false"/>
          <w:i w:val="false"/>
          <w:caps w:val="false"/>
          <w:smallCaps w:val="false"/>
          <w:sz w:val="20"/>
          <w:u w:val="single"/>
        </w:rPr>
        <w:t>No Improper Practices</w:t>
      </w:r>
      <w:r>
        <w:rPr>
          <w:rFonts w:ascii="Times New Roman;Times;Serif" w:hAnsi="Times New Roman;Times;Serif"/>
          <w:b w:val="false"/>
          <w:i w:val="false"/>
          <w:caps w:val="false"/>
          <w:smallCaps w:val="false"/>
          <w:sz w:val="20"/>
        </w:rPr>
        <w:t>. (i) Neither the Company nor the Subsidiaries nor, to the Company’s Knowledge, any of their respective executive officers has, in the past five years, made any unlawful contributions to any candidate for any political office (or failed fully to disclose any contribution in violation of law) or made any contribution or other payment to any official of, or candidate for, any federal, state, municipal, or foreign office or other person charged with similar public or quasi-public duty in violation of any law or of the character required to be disclosed in the Prospectus; (ii) no relationship, direct or indirect, exists between or among the Company or the Subsidiaries or, to the Company’s Knowledge, any affiliate of any of them, on the one hand, and the directors, officers and stockholders of the Company or the Subsidiaries, on the other hand, that is required by the Securities Act to be described in the Registration Statement and the Prospectus that is not so described; (iii) no relationship, direct or indirect, exists between or among the Company or the Subsidiaries or any affiliate of them, on the one hand, and the directors, officers, stockholders or directors of the Company or the Subsidiaries, on the other hand, that is required by the rules of FINRA to be described in the Registration Statement and the Prospectus that is not so described; (iv) there are no material outstanding loans or advances or material guarantees of indebtedness by the Company or the Subsidiaries to or for the benefit of any of their respective officers or directors or any of the members of the families of any of them; and (v) the Company has not offered, or caused any placement agent to offer, Common Stock to any person with the intent to influence unlawfully (A) a customer or supplier of the Company or any of the Subsidiaries to alter the customer’s or supplier’s level or type of business with the Company or any of the Subsidiaries or (B) a trade journalist or publication to write or publish favorable information about the Company or the Subsidiaries or any of their respective products or services; and (vi) neither the Company nor any of the Subsidiaries nor, to the Company’s Knowledge, any employee or agent of the Company or any of the Subsidiaries has made any payment of funds of the Company or any of the Subsidiaries or received or retained any funds in violation of any law, rule or regulation (including, without limitation, the Foreign Corrupt Practices Act of 1977), which payment, receipt or retention of funds is of a character required to be disclosed in the Registration Statement or the Prospectus.</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pp. </w:t>
      </w:r>
      <w:r>
        <w:rPr>
          <w:rFonts w:ascii="Times New Roman;Times;Serif" w:hAnsi="Times New Roman;Times;Serif"/>
          <w:b w:val="false"/>
          <w:i w:val="false"/>
          <w:caps w:val="false"/>
          <w:smallCaps w:val="false"/>
          <w:sz w:val="20"/>
          <w:u w:val="single"/>
        </w:rPr>
        <w:t>Status Under the Securities Act</w:t>
      </w:r>
      <w:r>
        <w:rPr>
          <w:rFonts w:ascii="Times New Roman;Times;Serif" w:hAnsi="Times New Roman;Times;Serif"/>
          <w:b w:val="false"/>
          <w:i w:val="false"/>
          <w:caps w:val="false"/>
          <w:smallCaps w:val="false"/>
          <w:sz w:val="20"/>
        </w:rPr>
        <w:t>. The Company was not and is not an ineligible issuer as defined in Rule 405 under the Securities Act at the times specified in Rules 164 and 433 under the Securities Act in connection with the offering of any of the Placement Shares.</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11</w:t>
            </w:r>
          </w:p>
        </w:tc>
        <w:tc>
          <w:tcPr>
            <w:tcW w:w="75" w:type="dxa"/>
            <w:tcBorders/>
            <w:vAlign w:val="center"/>
          </w:tcPr>
          <w:p>
            <w:pPr>
              <w:pStyle w:val="TableContents"/>
              <w:bidi w:val="0"/>
              <w:spacing w:before="0" w:after="283"/>
              <w:jc w:val="righ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qq. </w:t>
      </w:r>
      <w:r>
        <w:rPr>
          <w:rFonts w:ascii="Times New Roman;Times;Serif" w:hAnsi="Times New Roman;Times;Serif"/>
          <w:b w:val="false"/>
          <w:i w:val="false"/>
          <w:caps w:val="false"/>
          <w:smallCaps w:val="false"/>
          <w:sz w:val="20"/>
          <w:u w:val="single"/>
        </w:rPr>
        <w:t>No Misstatement or Omission in an Issuer Free Writing Prospectus</w:t>
      </w:r>
      <w:r>
        <w:rPr>
          <w:rFonts w:ascii="Times New Roman;Times;Serif" w:hAnsi="Times New Roman;Times;Serif"/>
          <w:b w:val="false"/>
          <w:i w:val="false"/>
          <w:caps w:val="false"/>
          <w:smallCaps w:val="false"/>
          <w:sz w:val="20"/>
        </w:rPr>
        <w:t xml:space="preserve">. Each Issuer Free Writing Prospectus, as of its issue date and as of each Applicable Time (as defined in </w:t>
      </w:r>
      <w:r>
        <w:rPr>
          <w:rFonts w:ascii="Times New Roman;Times;Serif" w:hAnsi="Times New Roman;Times;Serif"/>
          <w:b w:val="false"/>
          <w:i w:val="false"/>
          <w:caps w:val="false"/>
          <w:smallCaps w:val="false"/>
          <w:sz w:val="20"/>
          <w:u w:val="single"/>
        </w:rPr>
        <w:t>Section 25</w:t>
      </w:r>
      <w:r>
        <w:rPr>
          <w:rFonts w:ascii="Times New Roman;Times;Serif" w:hAnsi="Times New Roman;Times;Serif"/>
          <w:b w:val="false"/>
          <w:i w:val="false"/>
          <w:caps w:val="false"/>
          <w:smallCaps w:val="false"/>
          <w:sz w:val="20"/>
        </w:rPr>
        <w:t xml:space="preserve"> below), did not, does not and will not, through the completion of the Placement or Placements for which such Issuer Free Writing Prospectus is issued, include any information that conflicted, conflicts or will conflict with the information contained in the Registration Statement or the Prospectus, including any Incorporated Document that has not been superseded or modified. The foregoing sentence does not apply to statements in or omissions from any Issuer Free Writing Prospectus based upon and in conformity with written information furnished to the Company by A.G.P. specifically for use therein.</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rr. </w:t>
      </w:r>
      <w:r>
        <w:rPr>
          <w:rFonts w:ascii="Times New Roman;Times;Serif" w:hAnsi="Times New Roman;Times;Serif"/>
          <w:b w:val="false"/>
          <w:i w:val="false"/>
          <w:caps w:val="false"/>
          <w:smallCaps w:val="false"/>
          <w:sz w:val="20"/>
          <w:u w:val="single"/>
        </w:rPr>
        <w:t>No Conflicts</w:t>
      </w:r>
      <w:r>
        <w:rPr>
          <w:rFonts w:ascii="Times New Roman;Times;Serif" w:hAnsi="Times New Roman;Times;Serif"/>
          <w:b w:val="false"/>
          <w:i w:val="false"/>
          <w:caps w:val="false"/>
          <w:smallCaps w:val="false"/>
          <w:sz w:val="20"/>
        </w:rPr>
        <w:t>. Neither the execution of this Agreement by the Company, nor the issuance, offering or sale of any of the Placement Shares, nor the consummation by the Company of any of the transactions contemplated herein, nor the compliance by the Company with the terms and provisions hereof will conflict with, or will result in a breach of, any of the terms and provisions of, or has constituted or will constitute a default under, or has resulted in or will result in the creation or imposition of any lien, charge or encumbrance upon any property or assets of the Company or any Subsidiary pursuant to the terms of any contract or other agreement to which the Company or any Subsidiary may be bound or to which any of the property or assets of the Company or any Subsidiary is subject, except (i) such conflicts, breaches or defaults as may have been waived and (ii) such conflicts, breaches and defaults that would not have a Material Adverse Effect; nor will such action result (x) in any violation of the provisions of the certificate of incorporation or bylaws of the Company or the organizational or governing documents of any Subsidiary, or (y) in any material violation of the provisions of any statute or any order, rule or regulation applicable to the Company or any Subsidiary or of any court or arbitrator or of any federal, state, foreign or other regulatory or governmental authority having jurisdiction over the Company or any Subsidiary, except where such violation would not have a Material Adverse Effect.</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ss. </w:t>
      </w:r>
      <w:r>
        <w:rPr>
          <w:rFonts w:ascii="Times New Roman;Times;Serif" w:hAnsi="Times New Roman;Times;Serif"/>
          <w:b w:val="false"/>
          <w:i w:val="false"/>
          <w:caps w:val="false"/>
          <w:smallCaps w:val="false"/>
          <w:sz w:val="20"/>
          <w:u w:val="single"/>
        </w:rPr>
        <w:t>OFAC</w:t>
      </w:r>
      <w:r>
        <w:rPr>
          <w:rFonts w:ascii="Times New Roman;Times;Serif" w:hAnsi="Times New Roman;Times;Serif"/>
          <w:b w:val="false"/>
          <w:i w:val="false"/>
          <w:caps w:val="false"/>
          <w:smallCaps w:val="false"/>
          <w:sz w:val="20"/>
        </w:rPr>
        <w:t>.</w:t>
      </w:r>
    </w:p>
    <w:p>
      <w:pPr>
        <w:pStyle w:val="TextBody"/>
        <w:bidi w:val="0"/>
        <w:spacing w:before="0" w:after="24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Neither the Company nor any Subsidiary (collectively, the “</w:t>
      </w:r>
      <w:r>
        <w:rPr>
          <w:rFonts w:ascii="Times New Roman;Times;Serif" w:hAnsi="Times New Roman;Times;Serif"/>
          <w:b w:val="false"/>
          <w:i w:val="false"/>
          <w:caps w:val="false"/>
          <w:smallCaps w:val="false"/>
          <w:sz w:val="20"/>
          <w:u w:val="single"/>
        </w:rPr>
        <w:t>Entity</w:t>
      </w:r>
      <w:r>
        <w:rPr>
          <w:rFonts w:ascii="Times New Roman;Times;Serif" w:hAnsi="Times New Roman;Times;Serif"/>
          <w:b w:val="false"/>
          <w:i w:val="false"/>
          <w:caps w:val="false"/>
          <w:smallCaps w:val="false"/>
          <w:sz w:val="20"/>
        </w:rPr>
        <w:t>”) nor, to the Company’s Knowledge, any director, officer, employee, agent, affiliate or representative of the Entity, is a government, individual, or entity (in this paragraph (i), “</w:t>
      </w:r>
      <w:r>
        <w:rPr>
          <w:rFonts w:ascii="Times New Roman;Times;Serif" w:hAnsi="Times New Roman;Times;Serif"/>
          <w:b w:val="false"/>
          <w:i w:val="false"/>
          <w:caps w:val="false"/>
          <w:smallCaps w:val="false"/>
          <w:sz w:val="20"/>
          <w:u w:val="single"/>
        </w:rPr>
        <w:t>Person</w:t>
      </w:r>
      <w:r>
        <w:rPr>
          <w:rFonts w:ascii="Times New Roman;Times;Serif" w:hAnsi="Times New Roman;Times;Serif"/>
          <w:b w:val="false"/>
          <w:i w:val="false"/>
          <w:caps w:val="false"/>
          <w:smallCaps w:val="false"/>
          <w:sz w:val="20"/>
        </w:rPr>
        <w:t>”) that is, or is owned or controlled by a Person that is:</w:t>
      </w:r>
    </w:p>
    <w:p>
      <w:pPr>
        <w:pStyle w:val="TextBody"/>
        <w:bidi w:val="0"/>
        <w:spacing w:before="0" w:after="24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subject of any sanctions administered or enforced by the U.S. Department of Treasury’s Office of Foreign Assets Control (“</w:t>
      </w:r>
      <w:r>
        <w:rPr>
          <w:rFonts w:ascii="Times New Roman;Times;Serif" w:hAnsi="Times New Roman;Times;Serif"/>
          <w:b w:val="false"/>
          <w:i w:val="false"/>
          <w:caps w:val="false"/>
          <w:smallCaps w:val="false"/>
          <w:sz w:val="20"/>
          <w:u w:val="single"/>
        </w:rPr>
        <w:t>OFAC</w:t>
      </w:r>
      <w:r>
        <w:rPr>
          <w:rFonts w:ascii="Times New Roman;Times;Serif" w:hAnsi="Times New Roman;Times;Serif"/>
          <w:b w:val="false"/>
          <w:i w:val="false"/>
          <w:caps w:val="false"/>
          <w:smallCaps w:val="false"/>
          <w:sz w:val="20"/>
        </w:rPr>
        <w:t>”), the United Nations Security Council (“</w:t>
      </w:r>
      <w:r>
        <w:rPr>
          <w:rFonts w:ascii="Times New Roman;Times;Serif" w:hAnsi="Times New Roman;Times;Serif"/>
          <w:b w:val="false"/>
          <w:i w:val="false"/>
          <w:caps w:val="false"/>
          <w:smallCaps w:val="false"/>
          <w:sz w:val="20"/>
          <w:u w:val="single"/>
        </w:rPr>
        <w:t>UNSC</w:t>
      </w:r>
      <w:r>
        <w:rPr>
          <w:rFonts w:ascii="Times New Roman;Times;Serif" w:hAnsi="Times New Roman;Times;Serif"/>
          <w:b w:val="false"/>
          <w:i w:val="false"/>
          <w:caps w:val="false"/>
          <w:smallCaps w:val="false"/>
          <w:sz w:val="20"/>
        </w:rPr>
        <w:t>”), the European Union (“</w:t>
      </w:r>
      <w:r>
        <w:rPr>
          <w:rFonts w:ascii="Times New Roman;Times;Serif" w:hAnsi="Times New Roman;Times;Serif"/>
          <w:b w:val="false"/>
          <w:i w:val="false"/>
          <w:caps w:val="false"/>
          <w:smallCaps w:val="false"/>
          <w:sz w:val="20"/>
          <w:u w:val="single"/>
        </w:rPr>
        <w:t>EU</w:t>
      </w:r>
      <w:r>
        <w:rPr>
          <w:rFonts w:ascii="Times New Roman;Times;Serif" w:hAnsi="Times New Roman;Times;Serif"/>
          <w:b w:val="false"/>
          <w:i w:val="false"/>
          <w:caps w:val="false"/>
          <w:smallCaps w:val="false"/>
          <w:sz w:val="20"/>
        </w:rPr>
        <w:t>”), His Majesty’s Treasury (“</w:t>
      </w:r>
      <w:r>
        <w:rPr>
          <w:rFonts w:ascii="Times New Roman;Times;Serif" w:hAnsi="Times New Roman;Times;Serif"/>
          <w:b w:val="false"/>
          <w:i w:val="false"/>
          <w:caps w:val="false"/>
          <w:smallCaps w:val="false"/>
          <w:sz w:val="20"/>
          <w:u w:val="single"/>
        </w:rPr>
        <w:t>HMT</w:t>
      </w:r>
      <w:r>
        <w:rPr>
          <w:rFonts w:ascii="Times New Roman;Times;Serif" w:hAnsi="Times New Roman;Times;Serif"/>
          <w:b w:val="false"/>
          <w:i w:val="false"/>
          <w:caps w:val="false"/>
          <w:smallCaps w:val="false"/>
          <w:sz w:val="20"/>
        </w:rPr>
        <w:t>”), or other relevant sanctions authority (collectively, “</w:t>
      </w:r>
      <w:r>
        <w:rPr>
          <w:rFonts w:ascii="Times New Roman;Times;Serif" w:hAnsi="Times New Roman;Times;Serif"/>
          <w:b w:val="false"/>
          <w:i w:val="false"/>
          <w:caps w:val="false"/>
          <w:smallCaps w:val="false"/>
          <w:sz w:val="20"/>
          <w:u w:val="single"/>
        </w:rPr>
        <w:t>Sanctions</w:t>
      </w:r>
      <w:r>
        <w:rPr>
          <w:rFonts w:ascii="Times New Roman;Times;Serif" w:hAnsi="Times New Roman;Times;Serif"/>
          <w:b w:val="false"/>
          <w:i w:val="false"/>
          <w:caps w:val="false"/>
          <w:smallCaps w:val="false"/>
          <w:sz w:val="20"/>
        </w:rPr>
        <w:t>”), nor</w:t>
      </w:r>
    </w:p>
    <w:p>
      <w:pPr>
        <w:pStyle w:val="TextBody"/>
        <w:bidi w:val="0"/>
        <w:spacing w:before="0" w:after="24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located, organized or resident in a country or territory that is the subject of Sanctions. </w:t>
      </w:r>
    </w:p>
    <w:p>
      <w:pPr>
        <w:pStyle w:val="TextBody"/>
        <w:bidi w:val="0"/>
        <w:spacing w:before="0" w:after="24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Entity will not, directly or indirectly, knowingly use the proceeds of any offering contemplated hereby, or lend, contribute or otherwise make available any such proceeds to any subsidiary, joint venture partner or other Person:</w:t>
      </w:r>
    </w:p>
    <w:p>
      <w:pPr>
        <w:pStyle w:val="TextBody"/>
        <w:bidi w:val="0"/>
        <w:spacing w:before="0" w:after="24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 fund or facilitate any activities or business of or with any Person or in any country or territory that, at the time of such funding or facilitation, is the subject of Sanctions; or</w:t>
      </w:r>
    </w:p>
    <w:p>
      <w:pPr>
        <w:pStyle w:val="TextBody"/>
        <w:bidi w:val="0"/>
        <w:spacing w:before="0" w:after="24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any other manner that will result in a violation of Sanctions by any Person (including any Person participating in any such offering, whether as underwriter, advisor, investor or otherwise).</w:t>
      </w:r>
    </w:p>
    <w:p>
      <w:pPr>
        <w:pStyle w:val="TextBody"/>
        <w:bidi w:val="0"/>
        <w:spacing w:before="0" w:after="24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Entity represents and covenants that, except as set forth in the Registration Statement and the Prospectus, for the past five (5) years, it has not knowingly engaged in and is not now knowingly engaged in any dealing or transactions with any Person, or in any country or territory, that at the time of the dealing or transaction is or was the subject of Sanctions.</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tt. </w:t>
      </w:r>
      <w:r>
        <w:rPr>
          <w:rFonts w:ascii="Times New Roman;Times;Serif" w:hAnsi="Times New Roman;Times;Serif"/>
          <w:b w:val="false"/>
          <w:i w:val="false"/>
          <w:caps w:val="false"/>
          <w:smallCaps w:val="false"/>
          <w:sz w:val="20"/>
          <w:u w:val="single"/>
        </w:rPr>
        <w:t>Cybersecurity and IT Systems</w:t>
      </w:r>
      <w:r>
        <w:rPr>
          <w:rFonts w:ascii="Times New Roman;Times;Serif" w:hAnsi="Times New Roman;Times;Serif"/>
          <w:b w:val="false"/>
          <w:i w:val="false"/>
          <w:caps w:val="false"/>
          <w:smallCaps w:val="false"/>
          <w:sz w:val="20"/>
        </w:rPr>
        <w:t>. Except as otherwise described in the Registration Statement and the Prospectus, and except as would not, individually or in the aggregate, result in a Material Adverse Effect, (i) to the Knowledge of the Company, there has been no security breach or attack or other compromise of or relating to any of the Company’s and the Subsidiaries’ information technology and computer systems, networks, hardware, software, data (including the data of their respective customers, employees, suppliers, vendors and any third party data maintained by or on behalf of them), equipment or technology (“</w:t>
      </w:r>
      <w:r>
        <w:rPr>
          <w:rFonts w:ascii="Times New Roman;Times;Serif" w:hAnsi="Times New Roman;Times;Serif"/>
          <w:b w:val="false"/>
          <w:i w:val="false"/>
          <w:caps w:val="false"/>
          <w:smallCaps w:val="false"/>
          <w:sz w:val="20"/>
          <w:u w:val="single"/>
        </w:rPr>
        <w:t>IT Systems and Data</w:t>
      </w:r>
      <w:r>
        <w:rPr>
          <w:rFonts w:ascii="Times New Roman;Times;Serif" w:hAnsi="Times New Roman;Times;Serif"/>
          <w:b w:val="false"/>
          <w:i w:val="false"/>
          <w:caps w:val="false"/>
          <w:smallCaps w:val="false"/>
          <w:sz w:val="20"/>
        </w:rPr>
        <w:t>”), (ii) the Company and the Subsidiaries have not been notified in writing of, and have no Knowledge of, any event or condition that would result in any security breach, attack or compromise to their IT Systems and Data, (iii) the Company and the Subsidiaries have complied in all material respects, and are presently in material compliance with, all applicable laws, statutes or any judgment, order, rule or regulation of any court or arbitrator or governmental or regulatory authority and all industry guidelines, standards, internal policies and contractual obligations relating to the privacy and security of IT Systems and Data and to the protection of the IT Systems and Data from unauthorized use, access, misappropriation or modification and (iv) the Company and the Subsidiaries have implemented commercially reasonable backup and disaster recovery technology consistent with industry standards and practices.</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12</w:t>
            </w:r>
          </w:p>
        </w:tc>
        <w:tc>
          <w:tcPr>
            <w:tcW w:w="75" w:type="dxa"/>
            <w:tcBorders/>
            <w:vAlign w:val="center"/>
          </w:tcPr>
          <w:p>
            <w:pPr>
              <w:pStyle w:val="TableContents"/>
              <w:bidi w:val="0"/>
              <w:spacing w:before="0" w:after="283"/>
              <w:jc w:val="righ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uu. </w:t>
      </w:r>
      <w:r>
        <w:rPr>
          <w:rFonts w:ascii="Times New Roman;Times;Serif" w:hAnsi="Times New Roman;Times;Serif"/>
          <w:b w:val="false"/>
          <w:i w:val="false"/>
          <w:caps w:val="false"/>
          <w:smallCaps w:val="false"/>
          <w:sz w:val="20"/>
          <w:u w:val="single"/>
        </w:rPr>
        <w:t>Stock Transfer Taxes</w:t>
      </w:r>
      <w:r>
        <w:rPr>
          <w:rFonts w:ascii="Times New Roman;Times;Serif" w:hAnsi="Times New Roman;Times;Serif"/>
          <w:b w:val="false"/>
          <w:i w:val="false"/>
          <w:caps w:val="false"/>
          <w:smallCaps w:val="false"/>
          <w:sz w:val="20"/>
        </w:rPr>
        <w:t>. On each Settlement Date, all material stock transfer or other taxes (other than income taxes) which are required to be paid by the Company in connection with the sale and transfer of the Placement Shares to be sold hereunder will be, or will have been, fully paid or provided for by the Company and all laws imposing such taxes will be or will have been fully complied with by the Company in all material respects.</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vv. </w:t>
      </w:r>
      <w:r>
        <w:rPr>
          <w:rFonts w:ascii="Times New Roman;Times;Serif" w:hAnsi="Times New Roman;Times;Serif"/>
          <w:b w:val="false"/>
          <w:i w:val="false"/>
          <w:caps w:val="false"/>
          <w:smallCaps w:val="false"/>
          <w:sz w:val="20"/>
          <w:u w:val="single"/>
        </w:rPr>
        <w:t>FINRA Member Affiliations</w:t>
      </w:r>
      <w:r>
        <w:rPr>
          <w:rFonts w:ascii="Times New Roman;Times;Serif" w:hAnsi="Times New Roman;Times;Serif"/>
          <w:b w:val="false"/>
          <w:i w:val="false"/>
          <w:caps w:val="false"/>
          <w:smallCaps w:val="false"/>
          <w:sz w:val="20"/>
        </w:rPr>
        <w:t>. There are no affiliations with any FINRA member firm among the Company’s officers, directors or, to the Knowledge of the Company, any five percent (5%) or greater stockholder of the Company, except as set forth in the Registration Statement, the base prospectus, any Prospectus Supplement or the Prospectus. Any certificate signed by an officer of the Company and delivered to A.G.P. or to counsel for A.G.P. pursuant to or in connection with this Agreement shall be deemed to be a representation and warranty by the Company to A.G.P. as to the matters set forth therein.</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w:t>
      </w:r>
      <w:r>
        <w:rPr>
          <w:rFonts w:ascii="Times New Roman;Times;Serif" w:hAnsi="Times New Roman;Times;Serif"/>
          <w:b w:val="false"/>
          <w:i w:val="false"/>
          <w:caps w:val="false"/>
          <w:smallCaps w:val="false"/>
          <w:sz w:val="20"/>
          <w:u w:val="single"/>
        </w:rPr>
        <w:t>Covenants of the Company</w:t>
      </w:r>
      <w:r>
        <w:rPr>
          <w:rFonts w:ascii="Times New Roman;Times;Serif" w:hAnsi="Times New Roman;Times;Serif"/>
          <w:b w:val="false"/>
          <w:i w:val="false"/>
          <w:caps w:val="false"/>
          <w:smallCaps w:val="false"/>
          <w:sz w:val="20"/>
        </w:rPr>
        <w:t>. The Company covenants and agrees with A.G.P. that:</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Registration Statement Amendments</w:t>
      </w:r>
      <w:r>
        <w:rPr>
          <w:rFonts w:ascii="Times New Roman;Times;Serif" w:hAnsi="Times New Roman;Times;Serif"/>
          <w:b w:val="false"/>
          <w:i w:val="false"/>
          <w:caps w:val="false"/>
          <w:smallCaps w:val="false"/>
          <w:sz w:val="20"/>
        </w:rPr>
        <w:t>. After the date of this Agreement and during any period in which a prospectus relating to any Placement Shares is required to be delivered by A.G.P. under the Securities Act (including in circumstances where such requirement may be satisfied pursuant to Rule 172 or 173 under the Securities Act, or any similar rule) in connection with the offering or the sale of Placement Shares (the “</w:t>
      </w:r>
      <w:r>
        <w:rPr>
          <w:rFonts w:ascii="Times New Roman;Times;Serif" w:hAnsi="Times New Roman;Times;Serif"/>
          <w:b w:val="false"/>
          <w:i w:val="false"/>
          <w:caps w:val="false"/>
          <w:smallCaps w:val="false"/>
          <w:sz w:val="20"/>
          <w:u w:val="single"/>
        </w:rPr>
        <w:t>Prospectus Delivery Period</w:t>
      </w:r>
      <w:r>
        <w:rPr>
          <w:rFonts w:ascii="Times New Roman;Times;Serif" w:hAnsi="Times New Roman;Times;Serif"/>
          <w:b w:val="false"/>
          <w:i w:val="false"/>
          <w:caps w:val="false"/>
          <w:smallCaps w:val="false"/>
          <w:sz w:val="20"/>
        </w:rPr>
        <w:t>”): (i) the Company will notify A.G.P. promptly of the time when any subsequent amendment to the Registration Statement, other than documents incorporated by reference or amendments not related to any Placement, has been filed with the Commission and/or has become effective or any subsequent supplement to the Prospectus (other than documents incorporated by reference therein) has been filed and of any request by the Commission for any amendment or supplement to the Registration Statement or Prospectus related to the Placement or for additional information related to the Placement; (ii) the Company will prepare and file with the Commission, promptly upon A.G.P.’s request, any amendments or supplements to the Registration Statement or Prospectus that, upon the advice of the Company’s legal counsel, may be necessary or advisable in connection with the distribution of the Placement Shares by A.G.P.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the failure of A.G.P. to make such request shall not relieve the Company of any obligation or liability hereunder, or affect A.G.P.’s right to rely on the representations and warranties made by the Company in this Agreement and provided, further, that the only remedy A.G.P. shall have with respect to the failure to make such filing shall be to cease making sales under this Agreement until such amendment or supplement is filed); (iii) the Company will not file any amendment or supplement to the Registration Statement or Prospectus relating to the Placement Shares or a security convertible into or exercisable or exchangeable for the Placement Shares (other than an Incorporated Document) unless a copy thereof has been submitted to A.G.P. within a reasonable period of time before the filing and A.G.P. has not reasonably objected thereto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(A) the failure of A.G.P. to make such objection shall not relieve the Company of any obligation or liability hereunder, or affect A.G.P.’s right to rely on the representations and warranties made by the Company in this Agreement and (B) the Company has no obligation to provide A.G.P. any advance copy of such filing or to provide A.G.P. an opportunity to object to such filing if the filing does not name A.G.P. or does not relate to the transaction herein provided; and provided, further, that the only remedy A.G.P. shall have with respect to the failure by the Company to obtain such consent shall be to cease making sales under this Agreement) and the Company will furnish to A.G.P. at the time of filing thereof a copy of any document that upon filing is deemed to be incorporated by reference into the Registration Statement or Prospectus, except for those documents available via EDGAR; and (iv) the Company will cause each amendment or supplement to the Prospectus to be filed with the Commission as required pursuant to the applicable paragraph of Rule 424(b) of the Securities Act or, in the case of any document to be incorporated therein by reference, to be filed with the Commission as required pursuant to the Exchange Act, within the time period prescribed (the determination to file or not file any amendment or supplement with the Commission under this </w:t>
      </w:r>
      <w:r>
        <w:rPr>
          <w:rFonts w:ascii="Times New Roman;Times;Serif" w:hAnsi="Times New Roman;Times;Serif"/>
          <w:b w:val="false"/>
          <w:i w:val="false"/>
          <w:caps w:val="false"/>
          <w:smallCaps w:val="false"/>
          <w:sz w:val="20"/>
          <w:u w:val="single"/>
        </w:rPr>
        <w:t>Section 7.a)</w:t>
      </w:r>
      <w:r>
        <w:rPr>
          <w:rFonts w:ascii="Times New Roman;Times;Serif" w:hAnsi="Times New Roman;Times;Serif"/>
          <w:b w:val="false"/>
          <w:i w:val="false"/>
          <w:caps w:val="false"/>
          <w:smallCaps w:val="false"/>
          <w:sz w:val="20"/>
        </w:rPr>
        <w:t>, based on the Company’s reasonable opinion or reasonable objections, shall be made exclusively by the Company).</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13</w:t>
            </w:r>
          </w:p>
        </w:tc>
        <w:tc>
          <w:tcPr>
            <w:tcW w:w="75" w:type="dxa"/>
            <w:tcBorders/>
            <w:vAlign w:val="center"/>
          </w:tcPr>
          <w:p>
            <w:pPr>
              <w:pStyle w:val="TableContents"/>
              <w:bidi w:val="0"/>
              <w:spacing w:before="0" w:after="283"/>
              <w:jc w:val="righ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40"/>
        <w:ind w:left="0" w:right="0" w:firstLine="720"/>
        <w:jc w:val="both"/>
        <w:rPr>
          <w:caps w:val="false"/>
          <w:smallCaps w:val="false"/>
        </w:rPr>
      </w:pPr>
      <w:r>
        <w:rPr>
          <w:caps w:val="false"/>
          <w:smallCaps w:val="false"/>
        </w:rPr>
        <w:t> </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Notice of Commission Stop Orders</w:t>
      </w:r>
      <w:r>
        <w:rPr>
          <w:rFonts w:ascii="Times New Roman;Times;Serif" w:hAnsi="Times New Roman;Times;Serif"/>
          <w:b w:val="false"/>
          <w:i w:val="false"/>
          <w:caps w:val="false"/>
          <w:smallCaps w:val="false"/>
          <w:sz w:val="20"/>
        </w:rPr>
        <w:t>. The Company will advise A.G.P., promptly after it receives notice or obtains Knowledge thereof, of the issuance or threatened issuance by the Commission of any stop order suspending the effectiveness of the Registration Statement, of the suspension of the qualification of the Placement Shares for offering or sale in any jurisdiction, or of the initiation or threatening of any proceeding for any such purpose; and it will use its commercially reasonable efforts to prevent the issuance of any stop order or to obtain its withdrawal if such a stop order should be issued. The Company will advise A.G.P. promptly after it receives any request by the Commission for any amendments to the Registration Statement or any amendment or supplements to the Prospectus or any Issuer Free Writing Prospectus or for additional information related to the offering of the Placement Shares or for additional information related to the Registration Statement, the Prospectus or any Issuer Free Writing Prospectus.</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Delivery of Prospectus; Subsequent Changes</w:t>
      </w:r>
      <w:r>
        <w:rPr>
          <w:rFonts w:ascii="Times New Roman;Times;Serif" w:hAnsi="Times New Roman;Times;Serif"/>
          <w:b w:val="false"/>
          <w:i w:val="false"/>
          <w:caps w:val="false"/>
          <w:smallCaps w:val="false"/>
          <w:sz w:val="20"/>
        </w:rPr>
        <w:t xml:space="preserve">. During the Prospectus Delivery Period, the Company will comply with all requirements imposed upon it by the Securities Act, as from time to time in force, and to file on or before their respective due dates all reports and any definitive proxy or information statements required to be filed by the Company with the Commission pursuant to Sections 13(a), 13(c), 14, 15(d) or any other provision of or under the Exchange Act. If the Company has omitted any information from the Registration Statement pursuant to Rule 430A under the Securities Act, it will use its commercially reasonable efforts to comply with the provisions of and make all requisite filings with the Commission pursuant to said Rule 430A and to notify A.G.P. promptly of all such filings. If during the Prospectus Delivery Period any event occurs as a result of which the Prospectus as then amended or supplemented would include an untrue statement of a material fact or omit to state a material fact necessary to make the statements therein, in light of the circumstances then existing, not misleading, or if during such Prospectus Delivery Period it is necessary to amend or supplement the Registration Statement or Prospectus to comply with the Securities Act, the Company will (i) promptly notify A.G.P. to suspend the offering of Placement Shares during such period, and (ii) promptly amend or supplement the Registration Statement or Prospectus (at the expense of the Company) so as to correct such statement or omission or effect such compliance;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the Company may delay the filing of any amendment or supplement, if in the judgment of the Company, it is in the best interest of the Company; and provided further, however, that the Company shall not be required to furnish any document (other than the Prospectus) to A.G.P. to the extent such document is available on EDGAR.</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Listing of Placement Shares</w:t>
      </w:r>
      <w:r>
        <w:rPr>
          <w:rFonts w:ascii="Times New Roman;Times;Serif" w:hAnsi="Times New Roman;Times;Serif"/>
          <w:b w:val="false"/>
          <w:i w:val="false"/>
          <w:caps w:val="false"/>
          <w:smallCaps w:val="false"/>
          <w:sz w:val="20"/>
        </w:rPr>
        <w:t xml:space="preserve">. During the Prospectus Delivery Period, the Company will use its commercially reasonable efforts to cause the Placement Shares to be listed on the Exchange and to qualify the Placement Shares for sale under the securities laws of such jurisdictions in the United States as A.G.P. reasonably designates and to continue such qualifications in effect so long as required for the distribution of the Placement Shares;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the Company shall not be required in connection therewith to qualify as a foreign corporation or dealer in securities, file a general consent to service of process, or subject itself to taxation in any jurisdiction if it is not otherwise so subject.</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Delivery of Registration Statement and Prospectus</w:t>
      </w:r>
      <w:r>
        <w:rPr>
          <w:rFonts w:ascii="Times New Roman;Times;Serif" w:hAnsi="Times New Roman;Times;Serif"/>
          <w:b w:val="false"/>
          <w:i w:val="false"/>
          <w:caps w:val="false"/>
          <w:smallCaps w:val="false"/>
          <w:sz w:val="20"/>
        </w:rPr>
        <w:t xml:space="preserve">. The Company will furnish to A.G.P. and its counsel (at the reasonable expense of the Company) copies of the Registration Statement, the Prospectus (including all Incorporated Documents) and all amendments and supplements to the Registration Statement or Prospectus that are filed with the Commission during the Prospectus Delivery Period (including all documents filed with the Commission during such period that are deemed to be incorporated by reference therein), in each case as soon as reasonably practicable and in such quantities as A.G.P. may from time to time reasonably request and, at A.G.P.’s reasonable request, will also furnish copies of the Prospectus to each exchange or market on which sales of the Placement Shares may be made;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the Company shall not be required to furnish any document (other than the Prospectus) to A.G.P. to the extent such document is available on EDGAR.</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Earnings Statement</w:t>
      </w:r>
      <w:r>
        <w:rPr>
          <w:rFonts w:ascii="Times New Roman;Times;Serif" w:hAnsi="Times New Roman;Times;Serif"/>
          <w:b w:val="false"/>
          <w:i w:val="false"/>
          <w:caps w:val="false"/>
          <w:smallCaps w:val="false"/>
          <w:sz w:val="20"/>
        </w:rPr>
        <w:t>. The Company will make generally available to its security holders as soon as practicable, but in any event not later than fifteen (15) months after the end of the Company’s current fiscal quarter, an earnings statement covering a twelve (12) month period that satisfies the provisions of Section 11(a) and Rule 158 of the Securities Act.</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Use of Proceeds</w:t>
      </w:r>
      <w:r>
        <w:rPr>
          <w:rFonts w:ascii="Times New Roman;Times;Serif" w:hAnsi="Times New Roman;Times;Serif"/>
          <w:b w:val="false"/>
          <w:i w:val="false"/>
          <w:caps w:val="false"/>
          <w:smallCaps w:val="false"/>
          <w:sz w:val="20"/>
        </w:rPr>
        <w:t>. The Company will use the Net Proceeds as described in the Prospectus in the section entitled “</w:t>
      </w:r>
      <w:r>
        <w:rPr>
          <w:rFonts w:ascii="Times New Roman;Times;Serif" w:hAnsi="Times New Roman;Times;Serif"/>
          <w:b w:val="false"/>
          <w:i w:val="false"/>
          <w:caps w:val="false"/>
          <w:smallCaps w:val="false"/>
          <w:sz w:val="20"/>
          <w:u w:val="single"/>
        </w:rPr>
        <w:t>Use of Proceeds</w:t>
      </w:r>
      <w:r>
        <w:rPr>
          <w:rFonts w:ascii="Times New Roman;Times;Serif" w:hAnsi="Times New Roman;Times;Serif"/>
          <w:b w:val="false"/>
          <w:i w:val="false"/>
          <w:caps w:val="false"/>
          <w:smallCaps w:val="false"/>
          <w:sz w:val="20"/>
        </w:rPr>
        <w:t>.”</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14</w:t>
            </w:r>
          </w:p>
        </w:tc>
        <w:tc>
          <w:tcPr>
            <w:tcW w:w="75" w:type="dxa"/>
            <w:tcBorders/>
            <w:vAlign w:val="center"/>
          </w:tcPr>
          <w:p>
            <w:pPr>
              <w:pStyle w:val="TableContents"/>
              <w:bidi w:val="0"/>
              <w:spacing w:before="0" w:after="283"/>
              <w:jc w:val="righ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Notice of Other Sales</w:t>
      </w:r>
      <w:r>
        <w:rPr>
          <w:rFonts w:ascii="Times New Roman;Times;Serif" w:hAnsi="Times New Roman;Times;Serif"/>
          <w:b w:val="false"/>
          <w:i w:val="false"/>
          <w:caps w:val="false"/>
          <w:smallCaps w:val="false"/>
          <w:sz w:val="20"/>
        </w:rPr>
        <w:t xml:space="preserve">. Without the prior written consent of A.G.P., which shall not be unreasonably withheld, the Company will not, directly or indirectly, offer to sell, sell, contract to sell, grant any option to sell or otherwise dispose of any Common Stock (other than the Placement Shares offered pursuant to this Agreement) or securities convertible into or exercisable or exchangeable for Common Stock, warrants or any rights to purchase or acquire, Common Stock during the period beginning on the date on which any Placement Notice is delivered to A.G.P. hereunder and ending on the first (1st) Trading Day immediately following the final Settlement Date with respect to Placement Shares sold pursuant to such Placement Notice (or, if the Placement Notice has been terminated or suspended prior to the sale of all Placement Shares covered by a Placement Notice, the date of such suspension or termination); and will not directly or indirectly in any other “at the market” or continuous equity transaction offer to sell, sell, contract to sell, grant any option to sell or otherwise dispose of any Common Stock (other than the Placement Shares offered pursuant to this Agreement) or securities convertible into or exercisable or exchangeable for Common Stock, warrants or any rights to purchase or acquire, Common Stock prior to the termination of this Agreement;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such restrictions will not apply in connection with the Company’s issuance or sale of (i) Common Stock, options to purchase Common Stock or Common Stock issuable upon the exercise or vesting of options or other equity awards, pursuant to any stock option, equity incentive plan, benefits plan, stock ownership plan or dividend reinvestment plan (but not Common Stock subject to a waiver to exceed plan limits in its dividend reinvestment plan) of the Company whether now in effect or hereafter implemented, (ii) Common Stock issuable upon conversion of securities or the exercise of warrants, options or other rights in effect or outstanding, and disclosed in filings by the Company available on EDGAR or otherwise in writing to A.G.P., (iii) Common Stock, or securities convertible into or exercisable for Common Stock, offered and sold in a privately negotiated transaction to vendors, customers, strategic partners or potential strategic partners or other investors conducted in a manner so as not to be integrated with the offering of Common Stock hereby, or (iv) Common Stock in connection with any acquisition, strategic investment, commercial transaction or other similar transaction not primarily for equity raising purposes (including any joint venture, strategic alliance or partnership) or in settlement of any litigation, and (v) Common Stock issued or issuable pursuant to that certain convertible promissory note issued by the Company pursuant to the Securities Purchase Agreement, dated May 10, 2024, between the Company and Dowslake Microsystems Corporation (the “Dowslake Note”), as described in the Incorporated Documents, provided that with respect to the Dowslake Note, the Company shall notify A.G.P. in accordance with this Section 7(h) and A.G.P.’s consent will not be required.</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Change of Circumstances</w:t>
      </w:r>
      <w:r>
        <w:rPr>
          <w:rFonts w:ascii="Times New Roman;Times;Serif" w:hAnsi="Times New Roman;Times;Serif"/>
          <w:b w:val="false"/>
          <w:i w:val="false"/>
          <w:caps w:val="false"/>
          <w:smallCaps w:val="false"/>
          <w:sz w:val="20"/>
        </w:rPr>
        <w:t>. The Company will, at any time during the pendency of a Placement Notice advise A.G.P. promptly after it shall have received notice or obtained Knowledge thereof, of any information or fact that would alter or affect in any material respect any opinion, certificate, letter or other document required to be provided to A.G.P. pursuant to this Agreement.</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t>
      </w:r>
      <w:r>
        <w:rPr>
          <w:rFonts w:ascii="Times New Roman;Times;Serif" w:hAnsi="Times New Roman;Times;Serif"/>
          <w:b w:val="false"/>
          <w:i w:val="false"/>
          <w:caps w:val="false"/>
          <w:smallCaps w:val="false"/>
          <w:sz w:val="20"/>
          <w:u w:val="single"/>
        </w:rPr>
        <w:t>Due Diligence Cooperation</w:t>
      </w:r>
      <w:r>
        <w:rPr>
          <w:rFonts w:ascii="Times New Roman;Times;Serif" w:hAnsi="Times New Roman;Times;Serif"/>
          <w:b w:val="false"/>
          <w:i w:val="false"/>
          <w:caps w:val="false"/>
          <w:smallCaps w:val="false"/>
          <w:sz w:val="20"/>
        </w:rPr>
        <w:t xml:space="preserve">. During the term of this Agreement, the Company will cooperate with any reasonable due diligence review conducted by A.G.P. or its representatives in connection with the transactions contemplated hereby, including, without limitation, providing information and making available documents and senior corporate officers, during regular business hours and at the Company’s principal offices, as A.G.P. may reasonably request. The Company shall reimburse A.G.P. for A.G.P.’s counsel’s fees in each such due diligence update session, up to a maximum of $5,000 per update for which the Company is obligated to deliver a certification pursuant to clause (ii) of </w:t>
      </w:r>
      <w:r>
        <w:rPr>
          <w:rFonts w:ascii="Times New Roman;Times;Serif" w:hAnsi="Times New Roman;Times;Serif"/>
          <w:b w:val="false"/>
          <w:i w:val="false"/>
          <w:caps w:val="false"/>
          <w:smallCaps w:val="false"/>
          <w:sz w:val="20"/>
          <w:u w:val="single"/>
        </w:rPr>
        <w:t>Section l)</w:t>
      </w:r>
      <w:r>
        <w:rPr>
          <w:rFonts w:ascii="Times New Roman;Times;Serif" w:hAnsi="Times New Roman;Times;Serif"/>
          <w:b w:val="false"/>
          <w:i w:val="false"/>
          <w:caps w:val="false"/>
          <w:smallCaps w:val="false"/>
          <w:sz w:val="20"/>
        </w:rPr>
        <w:t xml:space="preserve"> and clause (iii) of </w:t>
      </w:r>
      <w:r>
        <w:rPr>
          <w:rFonts w:ascii="Times New Roman;Times;Serif" w:hAnsi="Times New Roman;Times;Serif"/>
          <w:b w:val="false"/>
          <w:i w:val="false"/>
          <w:caps w:val="false"/>
          <w:smallCaps w:val="false"/>
          <w:sz w:val="20"/>
          <w:u w:val="single"/>
        </w:rPr>
        <w:t>Section l)</w:t>
      </w:r>
      <w:r>
        <w:rPr>
          <w:rFonts w:ascii="Times New Roman;Times;Serif" w:hAnsi="Times New Roman;Times;Serif"/>
          <w:b w:val="false"/>
          <w:i w:val="false"/>
          <w:caps w:val="false"/>
          <w:smallCaps w:val="false"/>
          <w:sz w:val="20"/>
        </w:rPr>
        <w:t xml:space="preserve">, respectively, for which no waiver is applicable, plus any incidental expense incurred by A.G.P. in connection therewith; provided that, in no case such fees payable by the Company pursuant to this </w:t>
      </w:r>
      <w:r>
        <w:rPr>
          <w:rFonts w:ascii="Times New Roman;Times;Serif" w:hAnsi="Times New Roman;Times;Serif"/>
          <w:b w:val="false"/>
          <w:i w:val="false"/>
          <w:caps w:val="false"/>
          <w:smallCaps w:val="false"/>
          <w:sz w:val="20"/>
          <w:u w:val="single"/>
        </w:rPr>
        <w:t>Section 7.j)</w:t>
      </w:r>
      <w:r>
        <w:rPr>
          <w:rFonts w:ascii="Times New Roman;Times;Serif" w:hAnsi="Times New Roman;Times;Serif"/>
          <w:b w:val="false"/>
          <w:i w:val="false"/>
          <w:caps w:val="false"/>
          <w:smallCaps w:val="false"/>
          <w:sz w:val="20"/>
        </w:rPr>
        <w:t xml:space="preserve"> exceed $15,000 in any period of twelve (12) consecutive months, with the first such period commencing on the date of this Agreement.</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w:t>
      </w:r>
      <w:r>
        <w:rPr>
          <w:rFonts w:ascii="Times New Roman;Times;Serif" w:hAnsi="Times New Roman;Times;Serif"/>
          <w:b w:val="false"/>
          <w:i w:val="false"/>
          <w:caps w:val="false"/>
          <w:smallCaps w:val="false"/>
          <w:sz w:val="20"/>
          <w:u w:val="single"/>
        </w:rPr>
        <w:t>Required Filings Relating to Placement of Placement Shares</w:t>
      </w:r>
      <w:r>
        <w:rPr>
          <w:rFonts w:ascii="Times New Roman;Times;Serif" w:hAnsi="Times New Roman;Times;Serif"/>
          <w:b w:val="false"/>
          <w:i w:val="false"/>
          <w:caps w:val="false"/>
          <w:smallCaps w:val="false"/>
          <w:sz w:val="20"/>
        </w:rPr>
        <w:t>. The Company agrees that on such dates as the Securities Act shall require, the Company will (i) file a prospectus supplement with the Commission under the applicable paragraph of Rule 424(b) under the Securities Act (each and every date a filing under Rule 424(b) is made, a “</w:t>
      </w:r>
      <w:r>
        <w:rPr>
          <w:rFonts w:ascii="Times New Roman;Times;Serif" w:hAnsi="Times New Roman;Times;Serif"/>
          <w:b w:val="false"/>
          <w:i w:val="false"/>
          <w:caps w:val="false"/>
          <w:smallCaps w:val="false"/>
          <w:sz w:val="20"/>
          <w:u w:val="single"/>
        </w:rPr>
        <w:t>Filing Date</w:t>
      </w:r>
      <w:r>
        <w:rPr>
          <w:rFonts w:ascii="Times New Roman;Times;Serif" w:hAnsi="Times New Roman;Times;Serif"/>
          <w:b w:val="false"/>
          <w:i w:val="false"/>
          <w:caps w:val="false"/>
          <w:smallCaps w:val="false"/>
          <w:sz w:val="20"/>
        </w:rPr>
        <w:t>”), which prospectus supplement will set forth, within the relevant period, the amount of Placement Shares sold through A.G.P., the Net Proceeds to the Company and the compensation payable by the Company to A.G.P. with respect to such Placement Shares, and (ii) deliver such number of copies of each such prospectus supplement to each exchange or market on which such sales were effected as may be required by the rules or regulations of such exchange or market.</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w:t>
      </w:r>
      <w:r>
        <w:rPr>
          <w:rFonts w:ascii="Times New Roman;Times;Serif" w:hAnsi="Times New Roman;Times;Serif"/>
          <w:b w:val="false"/>
          <w:i w:val="false"/>
          <w:caps w:val="false"/>
          <w:smallCaps w:val="false"/>
          <w:sz w:val="20"/>
          <w:u w:val="single"/>
        </w:rPr>
        <w:t>Representation Dates; Certificate</w:t>
      </w:r>
      <w:r>
        <w:rPr>
          <w:rFonts w:ascii="Times New Roman;Times;Serif" w:hAnsi="Times New Roman;Times;Serif"/>
          <w:b w:val="false"/>
          <w:i w:val="false"/>
          <w:caps w:val="false"/>
          <w:smallCaps w:val="false"/>
          <w:sz w:val="20"/>
        </w:rPr>
        <w:t>. Each time during the term of this Agreement that the Company:</w:t>
      </w:r>
    </w:p>
    <w:p>
      <w:pPr>
        <w:pStyle w:val="TextBody"/>
        <w:bidi w:val="0"/>
        <w:spacing w:before="0" w:after="24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amends or supplements (other than by means of a prospectus supplement relating solely to an offering of securities other than the Placement Shares) the Registration Statement or the Prospectus relating to the Placement Shares by means of a post-effective amendment, sticker, or supplement but not by means of incorporation of documents by reference into the Registration Statement or the Prospectus relating to the Placement Shares;</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15</w:t>
            </w:r>
          </w:p>
        </w:tc>
        <w:tc>
          <w:tcPr>
            <w:tcW w:w="75" w:type="dxa"/>
            <w:tcBorders/>
            <w:vAlign w:val="center"/>
          </w:tcPr>
          <w:p>
            <w:pPr>
              <w:pStyle w:val="TableContents"/>
              <w:bidi w:val="0"/>
              <w:spacing w:before="0" w:after="283"/>
              <w:jc w:val="righ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4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files an annual report on Form 10-K under the Exchange Act (including any Form 10-K/A containing amended audited financial information or a material amendment to the previously filed Form 10-K) (the “</w:t>
      </w:r>
      <w:r>
        <w:rPr>
          <w:rFonts w:ascii="Times New Roman;Times;Serif" w:hAnsi="Times New Roman;Times;Serif"/>
          <w:b w:val="false"/>
          <w:i w:val="false"/>
          <w:caps w:val="false"/>
          <w:smallCaps w:val="false"/>
          <w:sz w:val="20"/>
          <w:u w:val="single"/>
        </w:rPr>
        <w:t>10-K Representation Date</w:t>
      </w:r>
      <w:r>
        <w:rPr>
          <w:rFonts w:ascii="Times New Roman;Times;Serif" w:hAnsi="Times New Roman;Times;Serif"/>
          <w:b w:val="false"/>
          <w:i w:val="false"/>
          <w:caps w:val="false"/>
          <w:smallCaps w:val="false"/>
          <w:sz w:val="20"/>
        </w:rPr>
        <w:t>”);</w:t>
      </w:r>
    </w:p>
    <w:p>
      <w:pPr>
        <w:pStyle w:val="TextBody"/>
        <w:bidi w:val="0"/>
        <w:spacing w:before="0" w:after="24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files its quarterly reports on Form 10-Q under the Exchange Act; or</w:t>
      </w:r>
    </w:p>
    <w:p>
      <w:pPr>
        <w:pStyle w:val="TextBody"/>
        <w:bidi w:val="0"/>
        <w:spacing w:before="0" w:after="24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files a current report on Form 8-K containing amended financial information (other than information “furnished” pursuant to Items 2.02 or 7.01 of Form 8-K or to provide disclosure pursuant to Item 8.01 of Form 8-K relating to the reclassification of certain properties as discontinued operations in accordance with Statement of Financial Accounting Standards No. 144) under the Exchange Act;</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date of filing of one or more of the documents referred to in clauses (i) through (iv) shall be a “</w:t>
      </w:r>
      <w:r>
        <w:rPr>
          <w:rFonts w:ascii="Times New Roman;Times;Serif" w:hAnsi="Times New Roman;Times;Serif"/>
          <w:b w:val="false"/>
          <w:i w:val="false"/>
          <w:caps w:val="false"/>
          <w:smallCaps w:val="false"/>
          <w:sz w:val="20"/>
          <w:u w:val="single"/>
        </w:rPr>
        <w:t>Representation Date</w:t>
      </w:r>
      <w:r>
        <w:rPr>
          <w:rFonts w:ascii="Times New Roman;Times;Serif" w:hAnsi="Times New Roman;Times;Serif"/>
          <w:b w:val="false"/>
          <w:i w:val="false"/>
          <w:caps w:val="false"/>
          <w:smallCaps w:val="false"/>
          <w:sz w:val="20"/>
        </w:rPr>
        <w:t xml:space="preserve">.”) the Company shall furnish A.G.P. (but in the case of clause (iv) above only if A.G.P. reasonably determines that the information contained in such Form 8-K is material) with a certificate, in the form attached hereto as </w:t>
      </w:r>
      <w:r>
        <w:rPr>
          <w:rFonts w:ascii="Times New Roman;Times;Serif" w:hAnsi="Times New Roman;Times;Serif"/>
          <w:b w:val="false"/>
          <w:i w:val="false"/>
          <w:caps w:val="false"/>
          <w:smallCaps w:val="false"/>
          <w:sz w:val="20"/>
          <w:u w:val="single"/>
        </w:rPr>
        <w:t>Exhibit 7(l)</w:t>
      </w:r>
      <w:r>
        <w:rPr>
          <w:rFonts w:ascii="Times New Roman;Times;Serif" w:hAnsi="Times New Roman;Times;Serif"/>
          <w:b w:val="false"/>
          <w:i w:val="false"/>
          <w:caps w:val="false"/>
          <w:smallCaps w:val="false"/>
          <w:sz w:val="20"/>
        </w:rPr>
        <w:t xml:space="preserve">. The requirement to provide a certificate under this </w:t>
      </w:r>
      <w:r>
        <w:rPr>
          <w:rFonts w:ascii="Times New Roman;Times;Serif" w:hAnsi="Times New Roman;Times;Serif"/>
          <w:b w:val="false"/>
          <w:i w:val="false"/>
          <w:caps w:val="false"/>
          <w:smallCaps w:val="false"/>
          <w:sz w:val="20"/>
          <w:u w:val="single"/>
        </w:rPr>
        <w:t>Section l)</w:t>
      </w:r>
      <w:r>
        <w:rPr>
          <w:rFonts w:ascii="Times New Roman;Times;Serif" w:hAnsi="Times New Roman;Times;Serif"/>
          <w:b w:val="false"/>
          <w:i w:val="false"/>
          <w:caps w:val="false"/>
          <w:smallCaps w:val="false"/>
          <w:sz w:val="20"/>
        </w:rPr>
        <w:t xml:space="preserve"> shall be automatically waived for any Representation Date occurring at a time at which no Placement Notice is pending, which waiver shall continue until the earlier to occur of the date the Company delivers a Placement Notice hereunder (which for such calendar quarter shall be considered a Representation Date) and the next occurring Representation Date on which the Company files its annual report on Form 10-K. Notwithstanding the foregoing, (i) upon the delivery of the first Placement Notice hereunder and (ii) if the Company subsequently decides to sell Placement Shares following a Representation Date when the Company relied on such waiver and did not provide A.G.P. with a certificate under this </w:t>
      </w:r>
      <w:r>
        <w:rPr>
          <w:rFonts w:ascii="Times New Roman;Times;Serif" w:hAnsi="Times New Roman;Times;Serif"/>
          <w:b w:val="false"/>
          <w:i w:val="false"/>
          <w:caps w:val="false"/>
          <w:smallCaps w:val="false"/>
          <w:sz w:val="20"/>
          <w:u w:val="single"/>
        </w:rPr>
        <w:t>Section 7(l)</w:t>
      </w:r>
      <w:r>
        <w:rPr>
          <w:rFonts w:ascii="Times New Roman;Times;Serif" w:hAnsi="Times New Roman;Times;Serif"/>
          <w:b w:val="false"/>
          <w:i w:val="false"/>
          <w:caps w:val="false"/>
          <w:smallCaps w:val="false"/>
          <w:sz w:val="20"/>
        </w:rPr>
        <w:t xml:space="preserve">, then before A.G.P. sells any Placement Shares, the Company shall provide A.G.P. with a certificate, in the form attached hereto as </w:t>
      </w:r>
      <w:r>
        <w:rPr>
          <w:rFonts w:ascii="Times New Roman;Times;Serif" w:hAnsi="Times New Roman;Times;Serif"/>
          <w:b w:val="false"/>
          <w:i w:val="false"/>
          <w:caps w:val="false"/>
          <w:smallCaps w:val="false"/>
          <w:sz w:val="20"/>
          <w:u w:val="single"/>
        </w:rPr>
        <w:t>Exhibit 7(l)</w:t>
      </w:r>
      <w:r>
        <w:rPr>
          <w:rFonts w:ascii="Times New Roman;Times;Serif" w:hAnsi="Times New Roman;Times;Serif"/>
          <w:b w:val="false"/>
          <w:i w:val="false"/>
          <w:caps w:val="false"/>
          <w:smallCaps w:val="false"/>
          <w:sz w:val="20"/>
        </w:rPr>
        <w:t>, dated the date of the Placement Notice.</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 </w:t>
      </w:r>
      <w:r>
        <w:rPr>
          <w:rFonts w:ascii="Times New Roman;Times;Serif" w:hAnsi="Times New Roman;Times;Serif"/>
          <w:b w:val="false"/>
          <w:i w:val="false"/>
          <w:caps w:val="false"/>
          <w:smallCaps w:val="false"/>
          <w:sz w:val="20"/>
          <w:u w:val="single"/>
        </w:rPr>
        <w:t>Legal Opinion</w:t>
      </w:r>
      <w:r>
        <w:rPr>
          <w:rFonts w:ascii="Times New Roman;Times;Serif" w:hAnsi="Times New Roman;Times;Serif"/>
          <w:b w:val="false"/>
          <w:i w:val="false"/>
          <w:caps w:val="false"/>
          <w:smallCaps w:val="false"/>
          <w:sz w:val="20"/>
        </w:rPr>
        <w:t>. On or prior to the date of the first Placement Notice given hereunder, the Company shall cause to be furnished to A.G.P. a written opinion and a negative assurance letter of Allen Overy Shearman Sterling US LLP (“</w:t>
      </w:r>
      <w:r>
        <w:rPr>
          <w:rFonts w:ascii="Times New Roman;Times;Serif" w:hAnsi="Times New Roman;Times;Serif"/>
          <w:b w:val="false"/>
          <w:i w:val="false"/>
          <w:caps w:val="false"/>
          <w:smallCaps w:val="false"/>
          <w:sz w:val="20"/>
          <w:u w:val="single"/>
        </w:rPr>
        <w:t>Company Counsel</w:t>
      </w:r>
      <w:r>
        <w:rPr>
          <w:rFonts w:ascii="Times New Roman;Times;Serif" w:hAnsi="Times New Roman;Times;Serif"/>
          <w:b w:val="false"/>
          <w:i w:val="false"/>
          <w:caps w:val="false"/>
          <w:smallCaps w:val="false"/>
          <w:sz w:val="20"/>
        </w:rPr>
        <w:t xml:space="preserve">”), in form and substance reasonably satisfactory to A.G.P. Thereafter, within five (5) Trading Days of each Representation Date with respect to which the Company is obligated to deliver a certificate in the form attached hereto as </w:t>
      </w:r>
      <w:r>
        <w:rPr>
          <w:rFonts w:ascii="Times New Roman;Times;Serif" w:hAnsi="Times New Roman;Times;Serif"/>
          <w:b w:val="false"/>
          <w:i w:val="false"/>
          <w:caps w:val="false"/>
          <w:smallCaps w:val="false"/>
          <w:sz w:val="20"/>
          <w:u w:val="single"/>
        </w:rPr>
        <w:t>Exhibit 7(l)</w:t>
      </w:r>
      <w:r>
        <w:rPr>
          <w:rFonts w:ascii="Times New Roman;Times;Serif" w:hAnsi="Times New Roman;Times;Serif"/>
          <w:b w:val="false"/>
          <w:i w:val="false"/>
          <w:caps w:val="false"/>
          <w:smallCaps w:val="false"/>
          <w:sz w:val="20"/>
        </w:rPr>
        <w:t xml:space="preserve"> for which no waiver is applicable, and not more than once per calendar quarter, the Company shall cause to be furnished to A.G.P. an opinion and negative assurance letter of Company Counsel, each in form and substance reasonably satisfactory to A.G.P.; provided that, in lieu of furnishing such opinion and negative assurance letter for subsequent periodic filings under the Exchange Act, such counsel may furnish A.G.P. with a letter (a “</w:t>
      </w:r>
      <w:r>
        <w:rPr>
          <w:rFonts w:ascii="Times New Roman;Times;Serif" w:hAnsi="Times New Roman;Times;Serif"/>
          <w:b w:val="false"/>
          <w:i w:val="false"/>
          <w:caps w:val="false"/>
          <w:smallCaps w:val="false"/>
          <w:sz w:val="20"/>
          <w:u w:val="single"/>
        </w:rPr>
        <w:t>Reliance Letter</w:t>
      </w:r>
      <w:r>
        <w:rPr>
          <w:rFonts w:ascii="Times New Roman;Times;Serif" w:hAnsi="Times New Roman;Times;Serif"/>
          <w:b w:val="false"/>
          <w:i w:val="false"/>
          <w:caps w:val="false"/>
          <w:smallCaps w:val="false"/>
          <w:sz w:val="20"/>
        </w:rPr>
        <w:t xml:space="preserve">”) to the effect that A.G.P. may rely on the opinion and negative assurance letter previously delivered under this </w:t>
      </w:r>
      <w:r>
        <w:rPr>
          <w:rFonts w:ascii="Times New Roman;Times;Serif" w:hAnsi="Times New Roman;Times;Serif"/>
          <w:b w:val="false"/>
          <w:i w:val="false"/>
          <w:caps w:val="false"/>
          <w:smallCaps w:val="false"/>
          <w:sz w:val="20"/>
          <w:u w:val="single"/>
        </w:rPr>
        <w:t>Section m)</w:t>
      </w:r>
      <w:r>
        <w:rPr>
          <w:rFonts w:ascii="Times New Roman;Times;Serif" w:hAnsi="Times New Roman;Times;Serif"/>
          <w:b w:val="false"/>
          <w:i w:val="false"/>
          <w:caps w:val="false"/>
          <w:smallCaps w:val="false"/>
          <w:sz w:val="20"/>
        </w:rPr>
        <w:t xml:space="preserve"> to the same extent as if it were dated the date of such letter (except that statements in such prior letter shall be deemed to relate to the Registration Statement and the Prospectus as amended or supplemented as of the date of the Reliance Letter).</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 </w:t>
      </w:r>
      <w:r>
        <w:rPr>
          <w:rFonts w:ascii="Times New Roman;Times;Serif" w:hAnsi="Times New Roman;Times;Serif"/>
          <w:b w:val="false"/>
          <w:i w:val="false"/>
          <w:caps w:val="false"/>
          <w:smallCaps w:val="false"/>
          <w:sz w:val="20"/>
          <w:u w:val="single"/>
        </w:rPr>
        <w:t>Comfort Letter</w:t>
      </w:r>
      <w:r>
        <w:rPr>
          <w:rFonts w:ascii="Times New Roman;Times;Serif" w:hAnsi="Times New Roman;Times;Serif"/>
          <w:b w:val="false"/>
          <w:i w:val="false"/>
          <w:caps w:val="false"/>
          <w:smallCaps w:val="false"/>
          <w:sz w:val="20"/>
        </w:rPr>
        <w:t>. On or prior to the date of the first Placement Notice given hereunder and within five (5) Trading Days after each 10-K Representation Date, the Company shall cause its independent accountants to furnish A.G.P. letters (the “</w:t>
      </w:r>
      <w:r>
        <w:rPr>
          <w:rFonts w:ascii="Times New Roman;Times;Serif" w:hAnsi="Times New Roman;Times;Serif"/>
          <w:b w:val="false"/>
          <w:i w:val="false"/>
          <w:caps w:val="false"/>
          <w:smallCaps w:val="false"/>
          <w:sz w:val="20"/>
          <w:u w:val="single"/>
        </w:rPr>
        <w:t>Comfort Letters</w:t>
      </w:r>
      <w:r>
        <w:rPr>
          <w:rFonts w:ascii="Times New Roman;Times;Serif" w:hAnsi="Times New Roman;Times;Serif"/>
          <w:b w:val="false"/>
          <w:i w:val="false"/>
          <w:caps w:val="false"/>
          <w:smallCaps w:val="false"/>
          <w:sz w:val="20"/>
        </w:rPr>
        <w:t xml:space="preserve">”), dated the date the Comfort Letter is delivered, which shall meet the requirements set forth in this </w:t>
      </w:r>
      <w:r>
        <w:rPr>
          <w:rFonts w:ascii="Times New Roman;Times;Serif" w:hAnsi="Times New Roman;Times;Serif"/>
          <w:b w:val="false"/>
          <w:i w:val="false"/>
          <w:caps w:val="false"/>
          <w:smallCaps w:val="false"/>
          <w:sz w:val="20"/>
          <w:u w:val="single"/>
        </w:rPr>
        <w:t>Section n)</w:t>
      </w:r>
      <w:r>
        <w:rPr>
          <w:rFonts w:ascii="Times New Roman;Times;Serif" w:hAnsi="Times New Roman;Times;Serif"/>
          <w:b w:val="false"/>
          <w:i w:val="false"/>
          <w:caps w:val="false"/>
          <w:smallCaps w:val="false"/>
          <w:sz w:val="20"/>
        </w:rPr>
        <w:t>. The Comfort Letter from the Company’s independent accountants shall be in a form and substance reasonably satisfactory to A.G.P., (i) confirming that they are an independent public accounting firm within the meaning of the Securities Act and the PCAOB and (ii) stating, as of such date, the conclusions and findings of such firm with respect to the financial information and other matters ordinarily covered by accountants’ “comfort letters” to underwriters in connection with registered public offerings (the first such letter, the “</w:t>
      </w:r>
      <w:r>
        <w:rPr>
          <w:rFonts w:ascii="Times New Roman;Times;Serif" w:hAnsi="Times New Roman;Times;Serif"/>
          <w:b w:val="false"/>
          <w:i w:val="false"/>
          <w:caps w:val="false"/>
          <w:smallCaps w:val="false"/>
          <w:sz w:val="20"/>
          <w:u w:val="single"/>
        </w:rPr>
        <w:t>Initial Comfort Letter</w:t>
      </w:r>
      <w:r>
        <w:rPr>
          <w:rFonts w:ascii="Times New Roman;Times;Serif" w:hAnsi="Times New Roman;Times;Serif"/>
          <w:b w:val="false"/>
          <w:i w:val="false"/>
          <w:caps w:val="false"/>
          <w:smallCaps w:val="false"/>
          <w:sz w:val="20"/>
        </w:rPr>
        <w:t>”) and, where applicable, (iii) updating the Initial Comfort Letter with any information that would have been included in the Initial Comfort Letter had it been given on such date and modified as necessary to relate to the Registration Statement and the Prospectus, as amended and supplemented to the date of such letter.</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 </w:t>
      </w:r>
      <w:r>
        <w:rPr>
          <w:rFonts w:ascii="Times New Roman;Times;Serif" w:hAnsi="Times New Roman;Times;Serif"/>
          <w:b w:val="false"/>
          <w:i w:val="false"/>
          <w:caps w:val="false"/>
          <w:smallCaps w:val="false"/>
          <w:sz w:val="20"/>
          <w:u w:val="single"/>
        </w:rPr>
        <w:t>Market Activities</w:t>
      </w:r>
      <w:r>
        <w:rPr>
          <w:rFonts w:ascii="Times New Roman;Times;Serif" w:hAnsi="Times New Roman;Times;Serif"/>
          <w:b w:val="false"/>
          <w:i w:val="false"/>
          <w:caps w:val="false"/>
          <w:smallCaps w:val="false"/>
          <w:sz w:val="20"/>
        </w:rPr>
        <w:t>. The Company will not, directly or indirectly, (i) take any action designed to cause or result in, or that constitutes or would constitute, the stabilization or manipulation of the price of any security of the Company to facilitate the sale or resale of Common Stock or (ii) sell, bid for, or purchase Common Stock in violation of Regulation M, or pay anyone any compensation for soliciting purchases of the Placement Shares other than A.G.P.</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16</w:t>
            </w:r>
          </w:p>
        </w:tc>
        <w:tc>
          <w:tcPr>
            <w:tcW w:w="75" w:type="dxa"/>
            <w:tcBorders/>
            <w:vAlign w:val="center"/>
          </w:tcPr>
          <w:p>
            <w:pPr>
              <w:pStyle w:val="TableContents"/>
              <w:bidi w:val="0"/>
              <w:spacing w:before="0" w:after="283"/>
              <w:jc w:val="righ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 </w:t>
      </w:r>
      <w:r>
        <w:rPr>
          <w:rFonts w:ascii="Times New Roman;Times;Serif" w:hAnsi="Times New Roman;Times;Serif"/>
          <w:b w:val="false"/>
          <w:i w:val="false"/>
          <w:caps w:val="false"/>
          <w:smallCaps w:val="false"/>
          <w:sz w:val="20"/>
          <w:u w:val="single"/>
        </w:rPr>
        <w:t>Investment Company Act</w:t>
      </w:r>
      <w:r>
        <w:rPr>
          <w:rFonts w:ascii="Times New Roman;Times;Serif" w:hAnsi="Times New Roman;Times;Serif"/>
          <w:b w:val="false"/>
          <w:i w:val="false"/>
          <w:caps w:val="false"/>
          <w:smallCaps w:val="false"/>
          <w:sz w:val="20"/>
        </w:rPr>
        <w:t>. The Company will conduct its affairs in such a manner so as to reasonably ensure that neither it nor any of the Subsidiaries will be or become, at any time prior to the termination of this Agreement, an “investment company,” as such term is defined in the Investment Company Act.</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q. </w:t>
      </w:r>
      <w:r>
        <w:rPr>
          <w:rFonts w:ascii="Times New Roman;Times;Serif" w:hAnsi="Times New Roman;Times;Serif"/>
          <w:b w:val="false"/>
          <w:i w:val="false"/>
          <w:caps w:val="false"/>
          <w:smallCaps w:val="false"/>
          <w:sz w:val="20"/>
          <w:u w:val="single"/>
        </w:rPr>
        <w:t>No Offer to Sell</w:t>
      </w:r>
      <w:r>
        <w:rPr>
          <w:rFonts w:ascii="Times New Roman;Times;Serif" w:hAnsi="Times New Roman;Times;Serif"/>
          <w:b w:val="false"/>
          <w:i w:val="false"/>
          <w:caps w:val="false"/>
          <w:smallCaps w:val="false"/>
          <w:sz w:val="20"/>
        </w:rPr>
        <w:t xml:space="preserve">. Other than an Issuer Free Writing Prospectus approved in advance by the Company and A.G.P. in its capacity as agent hereunder pursuant to </w:t>
      </w:r>
      <w:r>
        <w:rPr>
          <w:rFonts w:ascii="Times New Roman;Times;Serif" w:hAnsi="Times New Roman;Times;Serif"/>
          <w:b w:val="false"/>
          <w:i w:val="false"/>
          <w:caps w:val="false"/>
          <w:smallCaps w:val="false"/>
          <w:sz w:val="20"/>
          <w:u w:val="single"/>
        </w:rPr>
        <w:t>Section 23</w:t>
      </w:r>
      <w:r>
        <w:rPr>
          <w:rFonts w:ascii="Times New Roman;Times;Serif" w:hAnsi="Times New Roman;Times;Serif"/>
          <w:b w:val="false"/>
          <w:i w:val="false"/>
          <w:caps w:val="false"/>
          <w:smallCaps w:val="false"/>
          <w:sz w:val="20"/>
        </w:rPr>
        <w:t>, neither of A.G.P. nor the Company (including its agents and representatives, other than A.G.P. in its capacity as such) will make, use, prepare, authorize, approve or refer to any written communication (as defined in Rule 405), required to be filed with the Commission, that constitutes an offer to sell or solicitation of an offer to buy Placement Shares hereunder.</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 </w:t>
      </w:r>
      <w:r>
        <w:rPr>
          <w:rFonts w:ascii="Times New Roman;Times;Serif" w:hAnsi="Times New Roman;Times;Serif"/>
          <w:b w:val="false"/>
          <w:i w:val="false"/>
          <w:caps w:val="false"/>
          <w:smallCaps w:val="false"/>
          <w:sz w:val="20"/>
          <w:u w:val="single"/>
        </w:rPr>
        <w:t>Sarbanes-Oxley Act</w:t>
      </w:r>
      <w:r>
        <w:rPr>
          <w:rFonts w:ascii="Times New Roman;Times;Serif" w:hAnsi="Times New Roman;Times;Serif"/>
          <w:b w:val="false"/>
          <w:i w:val="false"/>
          <w:caps w:val="false"/>
          <w:smallCaps w:val="false"/>
          <w:sz w:val="20"/>
        </w:rPr>
        <w:t>. The Company will maintain and keep accurate books and records reflecting its assets and maintain internal accounting controls in a manner designed to provide reasonable assurance regarding the reliability of financial reporting and the preparation of financial statements for external purposes in accordance with GAAP and including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the preparation of the Company’s consolidated financial statements in accordance with GAAP, (iii) provide reasonable assurance that receipts and expenditures of the Company are being made only in accordance with management’s and the Company’s directors’ authorization, and (iv) provide reasonable assurance regarding prevention or timely detection of unauthorized acquisition, use or disposition of the Company’s assets that could have a material effect on its financial statements. The Company will maintain disclosure controls and procedures that comply with the requirements of the Exchange Act.</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w:t>
      </w:r>
      <w:r>
        <w:rPr>
          <w:rFonts w:ascii="Times New Roman;Times;Serif" w:hAnsi="Times New Roman;Times;Serif"/>
          <w:b w:val="false"/>
          <w:i w:val="false"/>
          <w:caps w:val="false"/>
          <w:smallCaps w:val="false"/>
          <w:sz w:val="20"/>
          <w:u w:val="single"/>
        </w:rPr>
        <w:t>Representations and Covenants of A.G.P.</w:t>
      </w:r>
      <w:r>
        <w:rPr>
          <w:rFonts w:ascii="Times New Roman;Times;Serif" w:hAnsi="Times New Roman;Times;Serif"/>
          <w:b w:val="false"/>
          <w:i w:val="false"/>
          <w:caps w:val="false"/>
          <w:smallCaps w:val="false"/>
          <w:sz w:val="20"/>
        </w:rPr>
        <w:t xml:space="preserve"> A.G.P. represents and warrants that it is duly registered as a broker-dealer under FINRA, the Exchange Act and the applicable statutes and regulations of each state in which the Placement Shares will be offered and sold, except such states in which A.G.P. is exempt from registration or such registration is not otherwise required. A.G.P. shall continue, for the term of this Agreement, to be duly registered as a broker-dealer under FINRA, the Exchange Act and the applicable statutes and regulations of each state in which the Placement Shares will be offered and sold, except such states in which it is exempt from registration or such registration is not otherwise required, during the term of this Agreement. A.G.P. shall comply with all applicable laws and regulations, including without limitation Regulation M, in connection with the transactions contemplated by this Agreement, including the issuance and sale through A.G.P. of the Placement Shares.</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 </w:t>
      </w:r>
      <w:r>
        <w:rPr>
          <w:rFonts w:ascii="Times New Roman;Times;Serif" w:hAnsi="Times New Roman;Times;Serif"/>
          <w:b w:val="false"/>
          <w:i w:val="false"/>
          <w:caps w:val="false"/>
          <w:smallCaps w:val="false"/>
          <w:sz w:val="20"/>
          <w:u w:val="single"/>
        </w:rPr>
        <w:t>Payment of Expenses</w:t>
      </w:r>
      <w:r>
        <w:rPr>
          <w:rFonts w:ascii="Times New Roman;Times;Serif" w:hAnsi="Times New Roman;Times;Serif"/>
          <w:b w:val="false"/>
          <w:i w:val="false"/>
          <w:caps w:val="false"/>
          <w:smallCaps w:val="false"/>
          <w:sz w:val="20"/>
        </w:rPr>
        <w:t xml:space="preserve">. The Company will pay all expenses incident to the performance of its obligations under this Agreement, including (i) the preparation, filing, including any fees required by the Commission, and printing or reproduction of the Registration Statement (including financial statements and exhibits) as originally filed and of each amendment and supplement thereto and each Issuer Free Writing Prospectus, in such number as A.G.P. shall deem reasonably necessary, (ii) the printing (or reproduction) and delivery to A.G.P. of this Agreement, and such other documents as may be required in connection with the offering, purchase, sale, issuance or delivery of the Placement Shares, (iii) the preparation, issuance and delivery of the certificates, if any, for the Placement Shares to A.G.P., including any stock or other transfer taxes and any capital duties, stamp duties or other duties or taxes payable upon the sale, issuance or delivery of the Placement Shares to A.G.P. or the purchaser thereof, (iv) the fees and disbursements of the counsel, accountants and other advisors to the Company, (v) the reasonable and documented out-of-pocket fees and disbursements of counsel to A.G.P. in an amount not to exceed $50,000 in the aggregate for the term of this Agreement (excluding any periodic due diligence fees provided for under </w:t>
      </w:r>
      <w:r>
        <w:rPr>
          <w:rFonts w:ascii="Times New Roman;Times;Serif" w:hAnsi="Times New Roman;Times;Serif"/>
          <w:b w:val="false"/>
          <w:i w:val="false"/>
          <w:caps w:val="false"/>
          <w:smallCaps w:val="false"/>
          <w:sz w:val="20"/>
          <w:u w:val="single"/>
        </w:rPr>
        <w:t>Section 7.j)</w:t>
      </w:r>
      <w:r>
        <w:rPr>
          <w:rFonts w:ascii="Times New Roman;Times;Serif" w:hAnsi="Times New Roman;Times;Serif"/>
          <w:b w:val="false"/>
          <w:i w:val="false"/>
          <w:caps w:val="false"/>
          <w:smallCaps w:val="false"/>
          <w:sz w:val="20"/>
        </w:rPr>
        <w:t>), (vi) the fees and expenses of the transfer agent and registrar for the Common Stock, (vii) the filing fees incident to any review by FINRA of the terms of the sale of the Placement Shares, and (viii) the fees and expenses incurred in connection with the listing of the Placement Shares on the Exchange.</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 </w:t>
      </w:r>
      <w:r>
        <w:rPr>
          <w:rFonts w:ascii="Times New Roman;Times;Serif" w:hAnsi="Times New Roman;Times;Serif"/>
          <w:b w:val="false"/>
          <w:i w:val="false"/>
          <w:caps w:val="false"/>
          <w:smallCaps w:val="false"/>
          <w:sz w:val="20"/>
          <w:u w:val="single"/>
        </w:rPr>
        <w:t>Conditions to A.G.P.’s Obligations</w:t>
      </w:r>
      <w:r>
        <w:rPr>
          <w:rFonts w:ascii="Times New Roman;Times;Serif" w:hAnsi="Times New Roman;Times;Serif"/>
          <w:b w:val="false"/>
          <w:i w:val="false"/>
          <w:caps w:val="false"/>
          <w:smallCaps w:val="false"/>
          <w:sz w:val="20"/>
        </w:rPr>
        <w:t>. The obligations of A.G.P. hereunder with respect to a Placement will be subject to the continuing accuracy and completeness of the representations and warranties made by the Company herein (other than those representations and warranties made as of a specified date or time), to the due performance in all material respects by the Company of its obligations hereunder, to the completion by A.G.P. of a due diligence review satisfactory to it in its reasonable judgment, and to the continuing reasonable satisfaction (or waiver in writing by A.G.P. in its sole discretion) of the following additional conditions:</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17</w:t>
            </w:r>
          </w:p>
        </w:tc>
        <w:tc>
          <w:tcPr>
            <w:tcW w:w="75" w:type="dxa"/>
            <w:tcBorders/>
            <w:vAlign w:val="center"/>
          </w:tcPr>
          <w:p>
            <w:pPr>
              <w:pStyle w:val="TableContents"/>
              <w:bidi w:val="0"/>
              <w:spacing w:before="0" w:after="283"/>
              <w:jc w:val="righ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Registration Statement Effective</w:t>
      </w:r>
      <w:r>
        <w:rPr>
          <w:rFonts w:ascii="Times New Roman;Times;Serif" w:hAnsi="Times New Roman;Times;Serif"/>
          <w:b w:val="false"/>
          <w:i w:val="false"/>
          <w:caps w:val="false"/>
          <w:smallCaps w:val="false"/>
          <w:sz w:val="20"/>
        </w:rPr>
        <w:t>. The Registration Statement shall remain effective and shall be available for the sale of all Placement Shares contemplated to be issued by any Placement Notice.</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No Material Notices</w:t>
      </w:r>
      <w:r>
        <w:rPr>
          <w:rFonts w:ascii="Times New Roman;Times;Serif" w:hAnsi="Times New Roman;Times;Serif"/>
          <w:b w:val="false"/>
          <w:i w:val="false"/>
          <w:caps w:val="false"/>
          <w:smallCaps w:val="false"/>
          <w:sz w:val="20"/>
        </w:rPr>
        <w:t>. None of the following events shall have occurred and be continuing: (i) receipt by the Company of any request for additional information from the Commission or any other federal or state governmental authority during the period of effectiveness of the Registration Statement, the response to which would require any post-effective amendments or supplements to the Registration Statement or the Prospectus; (ii) the issuance by the Commission or any other federal or state governmental authority of any stop order suspending the effectiveness of the Registration Statement or receipt by the Company of notification of the initiation of any proceedings for that purpose; (iii) receipt by the Company of any notification with respect to the suspension of the qualification or exemption from qualification of any of the Placement Shares for sale in any jurisdiction or receipt by the Company of notification of the initiation of, or a threat to initiate, any proceeding for such purpose; or (iv) the occurrence of any event that makes any material statement made in the Registration Statement or the Prospectus or any material Incorporated Document untrue in any material respect or that requires the making of any changes in the Registration Statement, the Prospectus or any material Incorporated Document so that, in the case of the Registration Statement, it will not contain any materially untrue statement of a material fact or omit to state any material fact required to be stated therein or necessary to make the statements therein not misleading and, that in the case of the Prospectus or any material Incorporated Document, it will not contain any materially untrue statement of a material fact or omit to state any material fact required to be stated therein or necessary to make the statements therein, in light of the circumstances under which they were made, not misleading.</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No Misstatement or Material Omission</w:t>
      </w:r>
      <w:r>
        <w:rPr>
          <w:rFonts w:ascii="Times New Roman;Times;Serif" w:hAnsi="Times New Roman;Times;Serif"/>
          <w:b w:val="false"/>
          <w:i w:val="false"/>
          <w:caps w:val="false"/>
          <w:smallCaps w:val="false"/>
          <w:sz w:val="20"/>
        </w:rPr>
        <w:t>. A.G.P. shall not have advised the Company that the Registration Statement or Prospectus, or any amendment or supplement thereto, contains an untrue statement of fact that in A.G.P.’s reasonable opinion is material, or omits to state a fact that in A.G.P.’s reasonable opinion is material and is required to be stated therein or is necessary to make the statements therein not misleading.</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Material Changes</w:t>
      </w:r>
      <w:r>
        <w:rPr>
          <w:rFonts w:ascii="Times New Roman;Times;Serif" w:hAnsi="Times New Roman;Times;Serif"/>
          <w:b w:val="false"/>
          <w:i w:val="false"/>
          <w:caps w:val="false"/>
          <w:smallCaps w:val="false"/>
          <w:sz w:val="20"/>
        </w:rPr>
        <w:t>. Except as contemplated in the Prospectus, or disclosed in the Company’s reports filed with the Commission, there shall not have been any Material Adverse Effect, or any development that would cause a Material Adverse Effect, or a downgrading in or withdrawal of the rating assigned to any of the Company’s securities (other than asset backed securities) by any “nationally recognized statistical rating organization,” as such term is defined by the Commission for purposes of Rule 436(g)(2) under the Securities Act (a “</w:t>
      </w:r>
      <w:r>
        <w:rPr>
          <w:rFonts w:ascii="Times New Roman;Times;Serif" w:hAnsi="Times New Roman;Times;Serif"/>
          <w:b w:val="false"/>
          <w:i w:val="false"/>
          <w:caps w:val="false"/>
          <w:smallCaps w:val="false"/>
          <w:sz w:val="20"/>
          <w:u w:val="single"/>
        </w:rPr>
        <w:t>Rating Organization</w:t>
      </w:r>
      <w:r>
        <w:rPr>
          <w:rFonts w:ascii="Times New Roman;Times;Serif" w:hAnsi="Times New Roman;Times;Serif"/>
          <w:b w:val="false"/>
          <w:i w:val="false"/>
          <w:caps w:val="false"/>
          <w:smallCaps w:val="false"/>
          <w:sz w:val="20"/>
        </w:rPr>
        <w:t>”), or a public announcement by any Rating Organization that it has under surveillance or review its rating of any of the Company’s securities (other than asset backed securities), the effect of which, in the case of any such action by a Rating Organization described above, in the reasonable judgment of A.G.P. (without relieving the Company of any obligation or liability it may otherwise have), is so material as to make it impracticable or inadvisable to proceed with the offering of the Placement Shares on the terms and in the manner contemplated in the Prospectus.</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Legal Opinion</w:t>
      </w:r>
      <w:r>
        <w:rPr>
          <w:rFonts w:ascii="Times New Roman;Times;Serif" w:hAnsi="Times New Roman;Times;Serif"/>
          <w:b w:val="false"/>
          <w:i w:val="false"/>
          <w:caps w:val="false"/>
          <w:smallCaps w:val="false"/>
          <w:sz w:val="20"/>
        </w:rPr>
        <w:t xml:space="preserve">. A.G.P. shall have received the opinion and negative assurance letter of Company Counsel required to be delivered pursuant to </w:t>
      </w:r>
      <w:r>
        <w:rPr>
          <w:rFonts w:ascii="Times New Roman;Times;Serif" w:hAnsi="Times New Roman;Times;Serif"/>
          <w:b w:val="false"/>
          <w:i w:val="false"/>
          <w:caps w:val="false"/>
          <w:smallCaps w:val="false"/>
          <w:sz w:val="20"/>
          <w:u w:val="single"/>
        </w:rPr>
        <w:t>Section 7.m)</w:t>
      </w:r>
      <w:r>
        <w:rPr>
          <w:rFonts w:ascii="Times New Roman;Times;Serif" w:hAnsi="Times New Roman;Times;Serif"/>
          <w:b w:val="false"/>
          <w:i w:val="false"/>
          <w:caps w:val="false"/>
          <w:smallCaps w:val="false"/>
          <w:sz w:val="20"/>
        </w:rPr>
        <w:t xml:space="preserve"> on or before the date on which such delivery of such opinion and negative assurance letter are required pursuant to </w:t>
      </w:r>
      <w:r>
        <w:rPr>
          <w:rFonts w:ascii="Times New Roman;Times;Serif" w:hAnsi="Times New Roman;Times;Serif"/>
          <w:b w:val="false"/>
          <w:i w:val="false"/>
          <w:caps w:val="false"/>
          <w:smallCaps w:val="false"/>
          <w:sz w:val="20"/>
          <w:u w:val="single"/>
        </w:rPr>
        <w:t>Section 7.m)</w:t>
      </w:r>
      <w:r>
        <w:rPr>
          <w:rFonts w:ascii="Times New Roman;Times;Serif" w:hAnsi="Times New Roman;Times;Serif"/>
          <w:b w:val="false"/>
          <w:i w:val="false"/>
          <w:caps w:val="false"/>
          <w:smallCaps w:val="false"/>
          <w:sz w:val="20"/>
        </w:rPr>
        <w:t>.</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Comfort Letter</w:t>
      </w:r>
      <w:r>
        <w:rPr>
          <w:rFonts w:ascii="Times New Roman;Times;Serif" w:hAnsi="Times New Roman;Times;Serif"/>
          <w:b w:val="false"/>
          <w:i w:val="false"/>
          <w:caps w:val="false"/>
          <w:smallCaps w:val="false"/>
          <w:sz w:val="20"/>
        </w:rPr>
        <w:t xml:space="preserve">. A.G.P. shall have received the Comfort Letter required to be delivered pursuant </w:t>
      </w:r>
      <w:r>
        <w:rPr>
          <w:rFonts w:ascii="Times New Roman;Times;Serif" w:hAnsi="Times New Roman;Times;Serif"/>
          <w:b w:val="false"/>
          <w:i w:val="false"/>
          <w:caps w:val="false"/>
          <w:smallCaps w:val="false"/>
          <w:sz w:val="20"/>
          <w:u w:val="single"/>
        </w:rPr>
        <w:t>Section 7.n)</w:t>
      </w:r>
      <w:r>
        <w:rPr>
          <w:rFonts w:ascii="Times New Roman;Times;Serif" w:hAnsi="Times New Roman;Times;Serif"/>
          <w:b w:val="false"/>
          <w:i w:val="false"/>
          <w:caps w:val="false"/>
          <w:smallCaps w:val="false"/>
          <w:sz w:val="20"/>
        </w:rPr>
        <w:t xml:space="preserve"> on or before the date on which such delivery of such letter is required pursuant to </w:t>
      </w:r>
      <w:r>
        <w:rPr>
          <w:rFonts w:ascii="Times New Roman;Times;Serif" w:hAnsi="Times New Roman;Times;Serif"/>
          <w:b w:val="false"/>
          <w:i w:val="false"/>
          <w:caps w:val="false"/>
          <w:smallCaps w:val="false"/>
          <w:sz w:val="20"/>
          <w:u w:val="single"/>
        </w:rPr>
        <w:t>Section 7.n)</w:t>
      </w:r>
      <w:r>
        <w:rPr>
          <w:rFonts w:ascii="Times New Roman;Times;Serif" w:hAnsi="Times New Roman;Times;Serif"/>
          <w:b w:val="false"/>
          <w:i w:val="false"/>
          <w:caps w:val="false"/>
          <w:smallCaps w:val="false"/>
          <w:sz w:val="20"/>
        </w:rPr>
        <w:t>.</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Representation Certificate</w:t>
      </w:r>
      <w:r>
        <w:rPr>
          <w:rFonts w:ascii="Times New Roman;Times;Serif" w:hAnsi="Times New Roman;Times;Serif"/>
          <w:b w:val="false"/>
          <w:i w:val="false"/>
          <w:caps w:val="false"/>
          <w:smallCaps w:val="false"/>
          <w:sz w:val="20"/>
        </w:rPr>
        <w:t xml:space="preserve">. A.G.P. shall have received the certificate required to be delivered pursuant to </w:t>
      </w:r>
      <w:r>
        <w:rPr>
          <w:rFonts w:ascii="Times New Roman;Times;Serif" w:hAnsi="Times New Roman;Times;Serif"/>
          <w:b w:val="false"/>
          <w:i w:val="false"/>
          <w:caps w:val="false"/>
          <w:smallCaps w:val="false"/>
          <w:sz w:val="20"/>
          <w:u w:val="single"/>
        </w:rPr>
        <w:t>Section 7.l)</w:t>
      </w:r>
      <w:r>
        <w:rPr>
          <w:rFonts w:ascii="Times New Roman;Times;Serif" w:hAnsi="Times New Roman;Times;Serif"/>
          <w:b w:val="false"/>
          <w:i w:val="false"/>
          <w:caps w:val="false"/>
          <w:smallCaps w:val="false"/>
          <w:sz w:val="20"/>
        </w:rPr>
        <w:t xml:space="preserve"> on or before the date on which delivery of such certificate is required pursuant to </w:t>
      </w:r>
      <w:r>
        <w:rPr>
          <w:rFonts w:ascii="Times New Roman;Times;Serif" w:hAnsi="Times New Roman;Times;Serif"/>
          <w:b w:val="false"/>
          <w:i w:val="false"/>
          <w:caps w:val="false"/>
          <w:smallCaps w:val="false"/>
          <w:sz w:val="20"/>
          <w:u w:val="single"/>
        </w:rPr>
        <w:t>Section 7.l)</w:t>
      </w:r>
      <w:r>
        <w:rPr>
          <w:rFonts w:ascii="Times New Roman;Times;Serif" w:hAnsi="Times New Roman;Times;Serif"/>
          <w:b w:val="false"/>
          <w:i w:val="false"/>
          <w:caps w:val="false"/>
          <w:smallCaps w:val="false"/>
          <w:sz w:val="20"/>
        </w:rPr>
        <w:t>.</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Secretary’s Certificate</w:t>
      </w:r>
      <w:r>
        <w:rPr>
          <w:rFonts w:ascii="Times New Roman;Times;Serif" w:hAnsi="Times New Roman;Times;Serif"/>
          <w:b w:val="false"/>
          <w:i w:val="false"/>
          <w:caps w:val="false"/>
          <w:smallCaps w:val="false"/>
          <w:sz w:val="20"/>
        </w:rPr>
        <w:t>. On or prior to the first Representation Date, A.G.P. shall have received a certificate, signed on behalf of the Company by its corporate secretary, in form and substance satisfactory to A.G.P. and its counsel.</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No Suspension</w:t>
      </w:r>
      <w:r>
        <w:rPr>
          <w:rFonts w:ascii="Times New Roman;Times;Serif" w:hAnsi="Times New Roman;Times;Serif"/>
          <w:b w:val="false"/>
          <w:i w:val="false"/>
          <w:caps w:val="false"/>
          <w:smallCaps w:val="false"/>
          <w:sz w:val="20"/>
        </w:rPr>
        <w:t>. Trading in the Common Stock shall not have been suspended on the Exchange and the Common Stock shall not have been delisted from the Exchange.</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18</w:t>
            </w:r>
          </w:p>
        </w:tc>
        <w:tc>
          <w:tcPr>
            <w:tcW w:w="75" w:type="dxa"/>
            <w:tcBorders/>
            <w:vAlign w:val="center"/>
          </w:tcPr>
          <w:p>
            <w:pPr>
              <w:pStyle w:val="TableContents"/>
              <w:bidi w:val="0"/>
              <w:spacing w:before="0" w:after="283"/>
              <w:jc w:val="righ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t>
      </w:r>
      <w:r>
        <w:rPr>
          <w:rFonts w:ascii="Times New Roman;Times;Serif" w:hAnsi="Times New Roman;Times;Serif"/>
          <w:b w:val="false"/>
          <w:i w:val="false"/>
          <w:caps w:val="false"/>
          <w:smallCaps w:val="false"/>
          <w:sz w:val="20"/>
          <w:u w:val="single"/>
        </w:rPr>
        <w:t>Other Materials</w:t>
      </w:r>
      <w:r>
        <w:rPr>
          <w:rFonts w:ascii="Times New Roman;Times;Serif" w:hAnsi="Times New Roman;Times;Serif"/>
          <w:b w:val="false"/>
          <w:i w:val="false"/>
          <w:caps w:val="false"/>
          <w:smallCaps w:val="false"/>
          <w:sz w:val="20"/>
        </w:rPr>
        <w:t xml:space="preserve">. On each date on which the Company is required to deliver a certificate pursuant to </w:t>
      </w:r>
      <w:r>
        <w:rPr>
          <w:rFonts w:ascii="Times New Roman;Times;Serif" w:hAnsi="Times New Roman;Times;Serif"/>
          <w:b w:val="false"/>
          <w:i w:val="false"/>
          <w:caps w:val="false"/>
          <w:smallCaps w:val="false"/>
          <w:sz w:val="20"/>
          <w:u w:val="single"/>
        </w:rPr>
        <w:t>Section 7.l)</w:t>
      </w:r>
      <w:r>
        <w:rPr>
          <w:rFonts w:ascii="Times New Roman;Times;Serif" w:hAnsi="Times New Roman;Times;Serif"/>
          <w:b w:val="false"/>
          <w:i w:val="false"/>
          <w:caps w:val="false"/>
          <w:smallCaps w:val="false"/>
          <w:sz w:val="20"/>
        </w:rPr>
        <w:t>, the Company shall have furnished to A.G.P. such appropriate further information, certificates and documents as A.G.P. may reasonably request and which are usually and customarily furnished by an issuer of securities in connection with a securities offering of the type contemplated hereby. All such certificates and other documents will be in compliance with the provisions hereof.</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w:t>
      </w:r>
      <w:r>
        <w:rPr>
          <w:rFonts w:ascii="Times New Roman;Times;Serif" w:hAnsi="Times New Roman;Times;Serif"/>
          <w:b w:val="false"/>
          <w:i w:val="false"/>
          <w:caps w:val="false"/>
          <w:smallCaps w:val="false"/>
          <w:sz w:val="20"/>
          <w:u w:val="single"/>
        </w:rPr>
        <w:t>Securities Act Filings Made</w:t>
      </w:r>
      <w:r>
        <w:rPr>
          <w:rFonts w:ascii="Times New Roman;Times;Serif" w:hAnsi="Times New Roman;Times;Serif"/>
          <w:b w:val="false"/>
          <w:i w:val="false"/>
          <w:caps w:val="false"/>
          <w:smallCaps w:val="false"/>
          <w:sz w:val="20"/>
        </w:rPr>
        <w:t>. All filings with the Commission required by Rule 424 under the Securities Act to have been filed prior to the issuance of any Placement Notice hereunder shall have been made within the applicable time period prescribed for such filing by Rule 424.</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w:t>
      </w:r>
      <w:r>
        <w:rPr>
          <w:rFonts w:ascii="Times New Roman;Times;Serif" w:hAnsi="Times New Roman;Times;Serif"/>
          <w:b w:val="false"/>
          <w:i w:val="false"/>
          <w:caps w:val="false"/>
          <w:smallCaps w:val="false"/>
          <w:sz w:val="20"/>
          <w:u w:val="single"/>
        </w:rPr>
        <w:t>Approval for Listing</w:t>
      </w:r>
      <w:r>
        <w:rPr>
          <w:rFonts w:ascii="Times New Roman;Times;Serif" w:hAnsi="Times New Roman;Times;Serif"/>
          <w:b w:val="false"/>
          <w:i w:val="false"/>
          <w:caps w:val="false"/>
          <w:smallCaps w:val="false"/>
          <w:sz w:val="20"/>
        </w:rPr>
        <w:t>. The Placement Shares shall either have been approved for listing on the Exchange, subject only to notice of issuance, or the Company shall have filed an application for listing of the Placement Shares on the Exchange at, or prior to, the issuance of any Placement Notice.</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 </w:t>
      </w:r>
      <w:r>
        <w:rPr>
          <w:rFonts w:ascii="Times New Roman;Times;Serif" w:hAnsi="Times New Roman;Times;Serif"/>
          <w:b w:val="false"/>
          <w:i w:val="false"/>
          <w:caps w:val="false"/>
          <w:smallCaps w:val="false"/>
          <w:sz w:val="20"/>
          <w:u w:val="single"/>
        </w:rPr>
        <w:t>No Termination Event</w:t>
      </w:r>
      <w:r>
        <w:rPr>
          <w:rFonts w:ascii="Times New Roman;Times;Serif" w:hAnsi="Times New Roman;Times;Serif"/>
          <w:b w:val="false"/>
          <w:i w:val="false"/>
          <w:caps w:val="false"/>
          <w:smallCaps w:val="false"/>
          <w:sz w:val="20"/>
        </w:rPr>
        <w:t xml:space="preserve">. There shall not have occurred any event that would permit A.G.P. to terminate this Agreement pursuant to </w:t>
      </w:r>
      <w:r>
        <w:rPr>
          <w:rFonts w:ascii="Times New Roman;Times;Serif" w:hAnsi="Times New Roman;Times;Serif"/>
          <w:b w:val="false"/>
          <w:i w:val="false"/>
          <w:caps w:val="false"/>
          <w:smallCaps w:val="false"/>
          <w:sz w:val="20"/>
          <w:u w:val="single"/>
        </w:rPr>
        <w:t>Section 13.a)</w:t>
      </w:r>
      <w:r>
        <w:rPr>
          <w:rFonts w:ascii="Times New Roman;Times;Serif" w:hAnsi="Times New Roman;Times;Serif"/>
          <w:b w:val="false"/>
          <w:i w:val="false"/>
          <w:caps w:val="false"/>
          <w:smallCaps w:val="false"/>
          <w:sz w:val="20"/>
        </w:rPr>
        <w:t>.</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 </w:t>
      </w:r>
      <w:r>
        <w:rPr>
          <w:rFonts w:ascii="Times New Roman;Times;Serif" w:hAnsi="Times New Roman;Times;Serif"/>
          <w:b w:val="false"/>
          <w:i w:val="false"/>
          <w:caps w:val="false"/>
          <w:smallCaps w:val="false"/>
          <w:sz w:val="20"/>
          <w:u w:val="single"/>
        </w:rPr>
        <w:t>Indemnification and Contribution</w:t>
      </w:r>
      <w:r>
        <w:rPr>
          <w:rFonts w:ascii="Times New Roman;Times;Serif" w:hAnsi="Times New Roman;Times;Serif"/>
          <w:b w:val="false"/>
          <w:i w:val="false"/>
          <w:caps w:val="false"/>
          <w:smallCaps w:val="false"/>
          <w:sz w:val="20"/>
        </w:rPr>
        <w:t>.</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Company Indemnification</w:t>
      </w:r>
      <w:r>
        <w:rPr>
          <w:rFonts w:ascii="Times New Roman;Times;Serif" w:hAnsi="Times New Roman;Times;Serif"/>
          <w:b w:val="false"/>
          <w:i w:val="false"/>
          <w:caps w:val="false"/>
          <w:smallCaps w:val="false"/>
          <w:sz w:val="20"/>
        </w:rPr>
        <w:t>. The Company agrees to indemnify and hold harmless A.G.P., its partners, members, directors, officers, employees and agents and each person, if any, who controls A.G.P. within the meaning of Section 15 of the Securities Act or Section 20 of the Exchange Act as follows:</w:t>
      </w:r>
    </w:p>
    <w:p>
      <w:pPr>
        <w:pStyle w:val="TextBody"/>
        <w:bidi w:val="0"/>
        <w:spacing w:before="0" w:after="24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against any and all loss, liability, claim, damage and expense whatsoever, as incurred, joint or several, arising out of or based upon any untrue statement or alleged untrue statement of a material fact contained in the Registration Statement (or any amendment thereto), or the omission or alleged omission therefrom of a material fact required to be stated therein or necessary to make the statements therein not misleading, or arising out of any untrue statement or alleged untrue statement of a material fact included in any related Issuer Free Writing Prospectus or the Prospectus (or any amendment or supplement thereto), or the omission or alleged omission therefrom of a material fact necessary in order to make the statements therein, in the light of the circumstances under which they were made, not misleading;</w:t>
      </w:r>
    </w:p>
    <w:p>
      <w:pPr>
        <w:pStyle w:val="TextBody"/>
        <w:bidi w:val="0"/>
        <w:spacing w:before="0" w:after="24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against any and all loss, liability, claim, damage and expense whatsoever, as incurred, joint or several, to the extent of the aggregate amount paid in settlement of any litigation, or any investigation or proceeding by any governmental authority, agency or body, commenced or threatened, or of any claim whatsoever based upon any such untrue statement or omission, or any such alleged untrue statement or omission; provided that (subject to </w:t>
      </w:r>
      <w:r>
        <w:rPr>
          <w:rFonts w:ascii="Times New Roman;Times;Serif" w:hAnsi="Times New Roman;Times;Serif"/>
          <w:b w:val="false"/>
          <w:i w:val="false"/>
          <w:caps w:val="false"/>
          <w:smallCaps w:val="false"/>
          <w:sz w:val="20"/>
          <w:u w:val="single"/>
        </w:rPr>
        <w:t>Section 11.d)</w:t>
      </w:r>
      <w:r>
        <w:rPr>
          <w:rFonts w:ascii="Times New Roman;Times;Serif" w:hAnsi="Times New Roman;Times;Serif"/>
          <w:b w:val="false"/>
          <w:i w:val="false"/>
          <w:caps w:val="false"/>
          <w:smallCaps w:val="false"/>
          <w:sz w:val="20"/>
        </w:rPr>
        <w:t xml:space="preserve"> below) any such settlement is effected with the written consent of the Company, which consent shall not unreasonably be delayed or withheld; and</w:t>
      </w:r>
    </w:p>
    <w:p>
      <w:pPr>
        <w:pStyle w:val="TextBody"/>
        <w:bidi w:val="0"/>
        <w:spacing w:before="0" w:after="24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against any and all expense whatsoever, as incurred (including the reasonable and documented out-of-pocket fees and disbursements of counsel), reasonably incurred in investigating, preparing or defending against any litigation, or any investigation or proceeding by any governmental authority, agency or body, commenced or threatened, or any claim whatsoever based upon any such untrue statement or omission, or any such alleged untrue statement or omission, to the extent that any such expense is not paid under paragraph (i) or (ii) above,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this indemnity agreement shall not apply to any loss, liability, claim, damage or expense to the extent arising out of any untrue statement or omission or alleged untrue statement or omission made solely in reliance upon and in conformity with written information furnished to the Company by A.G.P. expressly for use in the Registration Statement (or any amendment thereto), or in any related Issuer Free Writing Prospectus or the Prospectus (or any amendment or supplement thereto).</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Indemnification by A.G.P.</w:t>
      </w:r>
      <w:r>
        <w:rPr>
          <w:rFonts w:ascii="Times New Roman;Times;Serif" w:hAnsi="Times New Roman;Times;Serif"/>
          <w:b w:val="false"/>
          <w:i w:val="false"/>
          <w:caps w:val="false"/>
          <w:smallCaps w:val="false"/>
          <w:sz w:val="20"/>
        </w:rPr>
        <w:t xml:space="preserve"> A.G.P. agrees to indemnify and hold harmless the Company and its directors and officers, and each person, if any, who (i) controls the Company within the meaning of Section 15 of the Securities Act or Section 20 of the Exchange Act or (ii) is controlled by or is under common control with the Company, against any and all loss, liability, claim, damage and expense described in the indemnity contained in </w:t>
      </w:r>
      <w:r>
        <w:rPr>
          <w:rFonts w:ascii="Times New Roman;Times;Serif" w:hAnsi="Times New Roman;Times;Serif"/>
          <w:b w:val="false"/>
          <w:i w:val="false"/>
          <w:caps w:val="false"/>
          <w:smallCaps w:val="false"/>
          <w:sz w:val="20"/>
          <w:u w:val="single"/>
        </w:rPr>
        <w:t>Section 11.a)</w:t>
      </w:r>
      <w:r>
        <w:rPr>
          <w:rFonts w:ascii="Times New Roman;Times;Serif" w:hAnsi="Times New Roman;Times;Serif"/>
          <w:b w:val="false"/>
          <w:i w:val="false"/>
          <w:caps w:val="false"/>
          <w:smallCaps w:val="false"/>
          <w:sz w:val="20"/>
        </w:rPr>
        <w:t>, as incurred, but only with respect to untrue statements or omissions, or alleged untrue statements or omissions, made in the Registration Statement (or any amendments thereto) or in any related Issuer Free Writing Prospectus or the Prospectus (or any amendment or supplement thereto) in reliance upon and in conformity with information relating to A.G.P. and furnished to the Company in writing by A.G.P. expressly for use therein.</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19</w:t>
            </w:r>
          </w:p>
        </w:tc>
        <w:tc>
          <w:tcPr>
            <w:tcW w:w="75" w:type="dxa"/>
            <w:tcBorders/>
            <w:vAlign w:val="center"/>
          </w:tcPr>
          <w:p>
            <w:pPr>
              <w:pStyle w:val="TableContents"/>
              <w:bidi w:val="0"/>
              <w:spacing w:before="0" w:after="283"/>
              <w:jc w:val="righ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Procedure</w:t>
      </w:r>
      <w:r>
        <w:rPr>
          <w:rFonts w:ascii="Times New Roman;Times;Serif" w:hAnsi="Times New Roman;Times;Serif"/>
          <w:b w:val="false"/>
          <w:i w:val="false"/>
          <w:caps w:val="false"/>
          <w:smallCaps w:val="false"/>
          <w:sz w:val="20"/>
        </w:rPr>
        <w:t xml:space="preserve">. Any party that proposes to assert the right to be indemnified under this </w:t>
      </w: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 xml:space="preserve"> will, promptly after receipt of notice of commencement of any action against such party in respect of which a claim is to be made against an indemnifying party or parties under this </w:t>
      </w: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 xml:space="preserve">, notify each such indemnifying party of the commencement of such action, enclosing a copy of all papers served, but the omission so to notify such indemnifying party will not relieve the indemnifying party from (i) any liability that it might have to any indemnified party otherwise than under this </w:t>
      </w: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 xml:space="preserve"> and (ii) any liability that it may have to any indemnified party under the foregoing provisions of this </w:t>
      </w: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 xml:space="preserve"> unless, and only to the extent that, such omission results in the forfeiture of substantive rights or defenses by the indemnifying party. If any such action is brought against any indemnified party and it notifies the indemnifying party of its commencement, the indemnifying party will be entitled to participate in and, to the extent that it elects by delivering written notice to the indemnified party promptly after receiving notice of the commencement of the action from the indemnified party, jointly with any other indemnifying party similarly notified, to assume the defense of the action, with counsel reasonably satisfactory to the indemnified party, and after notice from the indemnifying party to the indemnified party of its election to assume the defense, the indemnifying party will not be liable to the indemnified party for any legal or other expenses of the indemnified party except as provided below and except for the reasonable costs of investigation subsequently incurred by the indemnified party in connection with the defense. The indemnified party will have the right to employ its own counsel in any such action, but the fees, expenses and other charges of such counsel will be at the expense of such indemnified party unless (1) the employment of counsel by the indemnified party has been authorized in writing by the indemnifying party, (2) the indemnified party has reasonably concluded (based on advice of counsel) that there may be legal defenses available to it or other indemnified parties that are different from or in addition to those available to the indemnifying party, (3) a conflict or potential conflict of interest exists (based on advice of counsel to the indemnified party) between the indemnified party and the indemnifying party (in which case the indemnifying party will not have the right to direct the defense of such action on behalf of the indemnified party) or (4) the indemnifying party has not in fact so employed counsel to assume the defense of such action within a reasonable time after receiving notice of the commencement of the action, in each of which cases the reasonable and documented out-of-pocket fees, disbursements and other charges of counsel will be at the expense of the indemnifying party or parties. It is understood that the indemnifying party or parties shall not, in connection with any proceeding or related proceedings in the same jurisdiction, be liable for the reasonable and documented out-of-pocket fees, disbursements and other charges of more than one separate firm admitted to practice in such jurisdiction at any one time for all such indemnified party or parties.</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All such reasonable and documented out-of-pocket fees, disbursements and other charges will be reimbursed by the indemnifying party promptly after the indemnifying party receives a written invoice relating to fees, disbursements and other charges in reasonable detail. An indemnifying party will not, in any event, be liable for any settlement of any action or claim effected without its written consent. No indemnifying party shall, without the prior written consent of each indemnified party, settle or compromise or consent to the entry of any judgment in any pending or threatened litigation, investigation, action, proceeding or claim relating to the matters contemplated by this </w:t>
      </w: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 xml:space="preserve"> (whether or not any indemnified party is a party thereto), unless such settlement, compromise or consent (1) includes an unconditional release of each indemnified party from all liability arising out of such litigation, investigation, action, proceeding or claim and (2) does not include a statement as to or an admission of fault, culpability or a failure to act by or on behalf of any indemnified party.</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Contribution</w:t>
      </w:r>
      <w:r>
        <w:rPr>
          <w:rFonts w:ascii="Times New Roman;Times;Serif" w:hAnsi="Times New Roman;Times;Serif"/>
          <w:b w:val="false"/>
          <w:i w:val="false"/>
          <w:caps w:val="false"/>
          <w:smallCaps w:val="false"/>
          <w:sz w:val="20"/>
        </w:rPr>
        <w:t xml:space="preserve">. In order to provide for just and equitable contribution in circumstances in which the indemnification provided for in the foregoing paragraphs of this </w:t>
      </w: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 xml:space="preserve"> is applicable in accordance with its terms but for any reason is held to be unavailable from the Company or A.G.P., the Company and A.G.P. will contribute to the total losses, claims, liabilities, expenses and damages (including any investigative, legal and other expenses reasonably incurred in connection with, and any amount paid in settlement of, any action, suit or proceeding or any claim asserted, but after deducting any contribution received by the Company from persons other than A.G.P., such as persons who control the Company within the meaning of the Securities Act or the Exchange Act, officers of the Company who signed the Registration Statement and directors of the Company, who also may be liable for contribution) to which the Company and A.G.P. may be subject in such proportion as shall be appropriate to reflect the relative benefits received by the Company on the one hand and A.G.P. on the other hand. The relative benefits received by the Company on the one hand and A.G.P. on the other hand shall be deemed to be in the same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20</w:t>
            </w:r>
          </w:p>
        </w:tc>
        <w:tc>
          <w:tcPr>
            <w:tcW w:w="75" w:type="dxa"/>
            <w:tcBorders/>
            <w:vAlign w:val="center"/>
          </w:tcPr>
          <w:p>
            <w:pPr>
              <w:pStyle w:val="TableContents"/>
              <w:bidi w:val="0"/>
              <w:spacing w:before="0" w:after="283"/>
              <w:jc w:val="righ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24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proportion as the total Net Proceeds from the sale of the Placement Shares (before deducting expenses) received by the Company bear to the total compensation received by A.G.P. (before deducting expenses) from the sale of Placement Shares on behalf of the Company. If, but only if, the allocation provided by the foregoing sentence is not permitted by applicable law, the allocation of contribution shall be made in such proportion as is appropriate to reflect not only the relative benefits referred to in the foregoing sentence but also the relative fault of the Company, on the one hand, and A.G.P., on the other hand, with respect to the statements or omission that resulted in such loss, claim, liability, expense or damage, or action in respect thereof, as well as any other relevant equitable considerations with respect to such offering. Such relative fault shall be determined by reference to, among other things, whether the untrue or alleged untrue statement of a material fact or omission or alleged omission to state a material fact relates to information supplied by the Company or A.G.P., the intent of the parties hereto and their relative knowledge, access to information and opportunity to correct or prevent such statement or omission. The Company and A.G.P. agree that it would not be just and equitable if contributions pursuant to this </w:t>
      </w:r>
      <w:r>
        <w:rPr>
          <w:rFonts w:ascii="Times New Roman;Times;Serif" w:hAnsi="Times New Roman;Times;Serif"/>
          <w:b w:val="false"/>
          <w:i w:val="false"/>
          <w:caps w:val="false"/>
          <w:smallCaps w:val="false"/>
          <w:sz w:val="20"/>
          <w:u w:val="single"/>
        </w:rPr>
        <w:t>Section 11.d)</w:t>
      </w:r>
      <w:r>
        <w:rPr>
          <w:rFonts w:ascii="Times New Roman;Times;Serif" w:hAnsi="Times New Roman;Times;Serif"/>
          <w:b w:val="false"/>
          <w:i w:val="false"/>
          <w:caps w:val="false"/>
          <w:smallCaps w:val="false"/>
          <w:sz w:val="20"/>
        </w:rPr>
        <w:t xml:space="preserve"> were to be determined by pro rata allocation or by any other method of allocation that does not take into account the equitable considerations referred to herein. The amount paid or payable by an indemnified party as a result of the loss, claim, liability, expense, or damage, or action in respect thereof, referred to above in this </w:t>
      </w:r>
      <w:r>
        <w:rPr>
          <w:rFonts w:ascii="Times New Roman;Times;Serif" w:hAnsi="Times New Roman;Times;Serif"/>
          <w:b w:val="false"/>
          <w:i w:val="false"/>
          <w:caps w:val="false"/>
          <w:smallCaps w:val="false"/>
          <w:sz w:val="20"/>
          <w:u w:val="single"/>
        </w:rPr>
        <w:t>Section 11.d)</w:t>
      </w:r>
      <w:r>
        <w:rPr>
          <w:rFonts w:ascii="Times New Roman;Times;Serif" w:hAnsi="Times New Roman;Times;Serif"/>
          <w:b w:val="false"/>
          <w:i w:val="false"/>
          <w:caps w:val="false"/>
          <w:smallCaps w:val="false"/>
          <w:sz w:val="20"/>
        </w:rPr>
        <w:t xml:space="preserve"> shall be deemed to include, for the purpose of this </w:t>
      </w:r>
      <w:r>
        <w:rPr>
          <w:rFonts w:ascii="Times New Roman;Times;Serif" w:hAnsi="Times New Roman;Times;Serif"/>
          <w:b w:val="false"/>
          <w:i w:val="false"/>
          <w:caps w:val="false"/>
          <w:smallCaps w:val="false"/>
          <w:sz w:val="20"/>
          <w:u w:val="single"/>
        </w:rPr>
        <w:t>Section 11.d)</w:t>
      </w:r>
      <w:r>
        <w:rPr>
          <w:rFonts w:ascii="Times New Roman;Times;Serif" w:hAnsi="Times New Roman;Times;Serif"/>
          <w:b w:val="false"/>
          <w:i w:val="false"/>
          <w:caps w:val="false"/>
          <w:smallCaps w:val="false"/>
          <w:sz w:val="20"/>
        </w:rPr>
        <w:t xml:space="preserve">, any legal or other expenses reasonably incurred by such indemnified party in connection with investigating or defending any such action or claim to the extent consistent with </w:t>
      </w:r>
      <w:r>
        <w:rPr>
          <w:rFonts w:ascii="Times New Roman;Times;Serif" w:hAnsi="Times New Roman;Times;Serif"/>
          <w:b w:val="false"/>
          <w:i w:val="false"/>
          <w:caps w:val="false"/>
          <w:smallCaps w:val="false"/>
          <w:sz w:val="20"/>
          <w:u w:val="single"/>
        </w:rPr>
        <w:t>Section 11.c)</w:t>
      </w:r>
      <w:r>
        <w:rPr>
          <w:rFonts w:ascii="Times New Roman;Times;Serif" w:hAnsi="Times New Roman;Times;Serif"/>
          <w:b w:val="false"/>
          <w:i w:val="false"/>
          <w:caps w:val="false"/>
          <w:smallCaps w:val="false"/>
          <w:sz w:val="20"/>
        </w:rPr>
        <w:t xml:space="preserve"> hereof.</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the foregoing provisions of this </w:t>
      </w:r>
      <w:r>
        <w:rPr>
          <w:rFonts w:ascii="Times New Roman;Times;Serif" w:hAnsi="Times New Roman;Times;Serif"/>
          <w:b w:val="false"/>
          <w:i w:val="false"/>
          <w:caps w:val="false"/>
          <w:smallCaps w:val="false"/>
          <w:sz w:val="20"/>
          <w:u w:val="single"/>
        </w:rPr>
        <w:t>Section 11.d)</w:t>
      </w:r>
      <w:r>
        <w:rPr>
          <w:rFonts w:ascii="Times New Roman;Times;Serif" w:hAnsi="Times New Roman;Times;Serif"/>
          <w:b w:val="false"/>
          <w:i w:val="false"/>
          <w:caps w:val="false"/>
          <w:smallCaps w:val="false"/>
          <w:sz w:val="20"/>
        </w:rPr>
        <w:t xml:space="preserve">, A.G.P. shall not be required to contribute any amount in excess of the commissions received by it under this Agreement and no person found guilty of fraudulent misrepresentation (within the meaning of Section 11(f) of the Securities Act) will be entitled to contribution from any person who was not guilty of such fraudulent misrepresentation. For purposes of this </w:t>
      </w:r>
      <w:r>
        <w:rPr>
          <w:rFonts w:ascii="Times New Roman;Times;Serif" w:hAnsi="Times New Roman;Times;Serif"/>
          <w:b w:val="false"/>
          <w:i w:val="false"/>
          <w:caps w:val="false"/>
          <w:smallCaps w:val="false"/>
          <w:sz w:val="20"/>
          <w:u w:val="single"/>
        </w:rPr>
        <w:t>Section 11.d)</w:t>
      </w:r>
      <w:r>
        <w:rPr>
          <w:rFonts w:ascii="Times New Roman;Times;Serif" w:hAnsi="Times New Roman;Times;Serif"/>
          <w:b w:val="false"/>
          <w:i w:val="false"/>
          <w:caps w:val="false"/>
          <w:smallCaps w:val="false"/>
          <w:sz w:val="20"/>
        </w:rPr>
        <w:t xml:space="preserve">, any person who controls a party to this Agreement within the meaning of the Securities Act or the Exchange Act, and any officers, directors, partners, members, employees or agents of A.G.P., will have the same rights to contribution as that party, and each officer who signed the Registration Statement and director of the Company will have the same rights to contribution as the Company, subject in each case to the provisions hereof. Any party entitled to contribution, promptly after receipt of notice of commencement of any action against such party in respect of which a claim for contribution may be made under this </w:t>
      </w:r>
      <w:r>
        <w:rPr>
          <w:rFonts w:ascii="Times New Roman;Times;Serif" w:hAnsi="Times New Roman;Times;Serif"/>
          <w:b w:val="false"/>
          <w:i w:val="false"/>
          <w:caps w:val="false"/>
          <w:smallCaps w:val="false"/>
          <w:sz w:val="20"/>
          <w:u w:val="single"/>
        </w:rPr>
        <w:t>Section 11.d)</w:t>
      </w:r>
      <w:r>
        <w:rPr>
          <w:rFonts w:ascii="Times New Roman;Times;Serif" w:hAnsi="Times New Roman;Times;Serif"/>
          <w:b w:val="false"/>
          <w:i w:val="false"/>
          <w:caps w:val="false"/>
          <w:smallCaps w:val="false"/>
          <w:sz w:val="20"/>
        </w:rPr>
        <w:t xml:space="preserve">, will notify any such party or parties from whom contribution may be sought, but the omission to so notify will not relieve that party or parties from whom contribution may be sought from any other obligation it or they may have under this </w:t>
      </w:r>
      <w:r>
        <w:rPr>
          <w:rFonts w:ascii="Times New Roman;Times;Serif" w:hAnsi="Times New Roman;Times;Serif"/>
          <w:b w:val="false"/>
          <w:i w:val="false"/>
          <w:caps w:val="false"/>
          <w:smallCaps w:val="false"/>
          <w:sz w:val="20"/>
          <w:u w:val="single"/>
        </w:rPr>
        <w:t>Section 11.d)</w:t>
      </w:r>
      <w:r>
        <w:rPr>
          <w:rFonts w:ascii="Times New Roman;Times;Serif" w:hAnsi="Times New Roman;Times;Serif"/>
          <w:b w:val="false"/>
          <w:i w:val="false"/>
          <w:caps w:val="false"/>
          <w:smallCaps w:val="false"/>
          <w:sz w:val="20"/>
        </w:rPr>
        <w:t xml:space="preserve"> except to the extent that the failure to so notify such other party materially prejudiced the substantive rights or defenses of the party from whom contribution is sought. Except for a settlement entered into pursuant to the last sentence of </w:t>
      </w:r>
      <w:r>
        <w:rPr>
          <w:rFonts w:ascii="Times New Roman;Times;Serif" w:hAnsi="Times New Roman;Times;Serif"/>
          <w:b w:val="false"/>
          <w:i w:val="false"/>
          <w:caps w:val="false"/>
          <w:smallCaps w:val="false"/>
          <w:sz w:val="20"/>
          <w:u w:val="single"/>
        </w:rPr>
        <w:t>Section 11.c)</w:t>
      </w:r>
      <w:r>
        <w:rPr>
          <w:rFonts w:ascii="Times New Roman;Times;Serif" w:hAnsi="Times New Roman;Times;Serif"/>
          <w:b w:val="false"/>
          <w:i w:val="false"/>
          <w:caps w:val="false"/>
          <w:smallCaps w:val="false"/>
          <w:sz w:val="20"/>
        </w:rPr>
        <w:t xml:space="preserve"> hereof, no party will be liable for contribution with respect to any action or claim settled without its written consent if such consent is required pursuant to </w:t>
      </w:r>
      <w:r>
        <w:rPr>
          <w:rFonts w:ascii="Times New Roman;Times;Serif" w:hAnsi="Times New Roman;Times;Serif"/>
          <w:b w:val="false"/>
          <w:i w:val="false"/>
          <w:caps w:val="false"/>
          <w:smallCaps w:val="false"/>
          <w:sz w:val="20"/>
          <w:u w:val="single"/>
        </w:rPr>
        <w:t>Section 11.c)</w:t>
      </w:r>
      <w:r>
        <w:rPr>
          <w:rFonts w:ascii="Times New Roman;Times;Serif" w:hAnsi="Times New Roman;Times;Serif"/>
          <w:b w:val="false"/>
          <w:i w:val="false"/>
          <w:caps w:val="false"/>
          <w:smallCaps w:val="false"/>
          <w:sz w:val="20"/>
        </w:rPr>
        <w:t xml:space="preserve"> hereof.</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 </w:t>
      </w:r>
      <w:r>
        <w:rPr>
          <w:rFonts w:ascii="Times New Roman;Times;Serif" w:hAnsi="Times New Roman;Times;Serif"/>
          <w:b w:val="false"/>
          <w:i w:val="false"/>
          <w:caps w:val="false"/>
          <w:smallCaps w:val="false"/>
          <w:sz w:val="20"/>
          <w:u w:val="single"/>
        </w:rPr>
        <w:t>Representations and Agreements to Survive Delivery</w:t>
      </w:r>
      <w:r>
        <w:rPr>
          <w:rFonts w:ascii="Times New Roman;Times;Serif" w:hAnsi="Times New Roman;Times;Serif"/>
          <w:b w:val="false"/>
          <w:i w:val="false"/>
          <w:caps w:val="false"/>
          <w:smallCaps w:val="false"/>
          <w:sz w:val="20"/>
        </w:rPr>
        <w:t xml:space="preserve">. The indemnity and contribution agreements contained in </w:t>
      </w: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 xml:space="preserve"> of this Agreement and all representations and warranties of the Company herein or in certificates delivered pursuant hereto shall survive, as of their respective dates, regardless of (i) any investigation made by or on behalf of A.G.P., any controlling persons, or the Company (or any of their respective officers, directors or controlling persons), (ii) delivery and acceptance of the Placement Shares and payment therefor or (iii) any termination of this Agreement.</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 </w:t>
      </w:r>
      <w:r>
        <w:rPr>
          <w:rFonts w:ascii="Times New Roman;Times;Serif" w:hAnsi="Times New Roman;Times;Serif"/>
          <w:b w:val="false"/>
          <w:i w:val="false"/>
          <w:caps w:val="false"/>
          <w:smallCaps w:val="false"/>
          <w:sz w:val="20"/>
          <w:u w:val="single"/>
        </w:rPr>
        <w:t>Termination</w:t>
      </w:r>
      <w:r>
        <w:rPr>
          <w:rFonts w:ascii="Times New Roman;Times;Serif" w:hAnsi="Times New Roman;Times;Serif"/>
          <w:b w:val="false"/>
          <w:i w:val="false"/>
          <w:caps w:val="false"/>
          <w:smallCaps w:val="false"/>
          <w:sz w:val="20"/>
        </w:rPr>
        <w:t>.</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A.G.P. may terminate this Agreement immediately, by written notice to the Company, as hereinafter specified at any time (1) if there has been, since the time of execution of this Agreement or since the date as of which information is given in the Prospectus, any Material Adverse Effect, or the occurrence of any development that would have a Material Adverse Effect that, in the sole judgment of A.G.P., is material and adverse and makes it impractical or inadvisable to market the Placement Shares or to enforce contracts for the sale of the Placement Shares, (2) if there has occurred any material adverse change in the financial markets in the United States or the international financial markets, any outbreak of hostilities or escalation thereof or other calamity or crisis or any change or development involving a prospective change in national or international political, financial or economic conditions, in each case the effect of which is such as to make it, in the reasonable judgment of A.G.P., impracticable or inadvisable to market the Placement Shares or to enforce contracts for the sale of the Placement Shares, (3) if trading in the Common Stock has been suspended or limited by the Commission or the Exchange, or if trading generally on the Exchange has been suspended or limited, or minimum prices for trading have been fixed on the Exchange, (4) if any suspension of trading of any securities of the Company on any exchange or in the over-the-counter market shall have occurred and be continuing, (5) if a major disruption of securities settlements or clearance services in the United States shall have occurred and be continuing, or (6) if a banking moratorium has been declared by either U.S. federal or New York authorities.</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21</w:t>
            </w:r>
          </w:p>
        </w:tc>
        <w:tc>
          <w:tcPr>
            <w:tcW w:w="75" w:type="dxa"/>
            <w:tcBorders/>
            <w:vAlign w:val="center"/>
          </w:tcPr>
          <w:p>
            <w:pPr>
              <w:pStyle w:val="TableContents"/>
              <w:bidi w:val="0"/>
              <w:spacing w:before="0" w:after="283"/>
              <w:jc w:val="righ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Any such termination shall be without liability of any party to any other party except that the provisions of </w:t>
      </w:r>
      <w:r>
        <w:rPr>
          <w:rFonts w:ascii="Times New Roman;Times;Serif" w:hAnsi="Times New Roman;Times;Serif"/>
          <w:b w:val="false"/>
          <w:i w:val="false"/>
          <w:caps w:val="false"/>
          <w:smallCaps w:val="false"/>
          <w:sz w:val="20"/>
          <w:u w:val="single"/>
        </w:rPr>
        <w:t>Section 9</w:t>
      </w:r>
      <w:r>
        <w:rPr>
          <w:rFonts w:ascii="Times New Roman;Times;Serif" w:hAnsi="Times New Roman;Times;Serif"/>
          <w:b w:val="false"/>
          <w:i w:val="false"/>
          <w:caps w:val="false"/>
          <w:smallCaps w:val="false"/>
          <w:sz w:val="20"/>
        </w:rPr>
        <w:t xml:space="preserve"> (Payment of Expenses), </w:t>
      </w: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 xml:space="preserve"> (Indemnification and Contribution), </w:t>
      </w:r>
      <w:r>
        <w:rPr>
          <w:rFonts w:ascii="Times New Roman;Times;Serif" w:hAnsi="Times New Roman;Times;Serif"/>
          <w:b w:val="false"/>
          <w:i w:val="false"/>
          <w:caps w:val="false"/>
          <w:smallCaps w:val="false"/>
          <w:sz w:val="20"/>
          <w:u w:val="single"/>
        </w:rPr>
        <w:t>Section 12</w:t>
      </w:r>
      <w:r>
        <w:rPr>
          <w:rFonts w:ascii="Times New Roman;Times;Serif" w:hAnsi="Times New Roman;Times;Serif"/>
          <w:b w:val="false"/>
          <w:i w:val="false"/>
          <w:caps w:val="false"/>
          <w:smallCaps w:val="false"/>
          <w:sz w:val="20"/>
        </w:rPr>
        <w:t xml:space="preserve"> (Representations and Agreements to Survive Delivery), </w:t>
      </w:r>
      <w:r>
        <w:rPr>
          <w:rFonts w:ascii="Times New Roman;Times;Serif" w:hAnsi="Times New Roman;Times;Serif"/>
          <w:b w:val="false"/>
          <w:i w:val="false"/>
          <w:caps w:val="false"/>
          <w:smallCaps w:val="false"/>
          <w:sz w:val="20"/>
          <w:u w:val="single"/>
        </w:rPr>
        <w:t>Section 18</w:t>
      </w:r>
      <w:r>
        <w:rPr>
          <w:rFonts w:ascii="Times New Roman;Times;Serif" w:hAnsi="Times New Roman;Times;Serif"/>
          <w:b w:val="false"/>
          <w:i w:val="false"/>
          <w:caps w:val="false"/>
          <w:smallCaps w:val="false"/>
          <w:sz w:val="20"/>
        </w:rPr>
        <w:t xml:space="preserve"> (Governing Law and Time; Waiver of Jury Trial), and </w:t>
      </w:r>
      <w:r>
        <w:rPr>
          <w:rFonts w:ascii="Times New Roman;Times;Serif" w:hAnsi="Times New Roman;Times;Serif"/>
          <w:b w:val="false"/>
          <w:i w:val="false"/>
          <w:caps w:val="false"/>
          <w:smallCaps w:val="false"/>
          <w:sz w:val="20"/>
          <w:u w:val="single"/>
        </w:rPr>
        <w:t>Section 19</w:t>
      </w:r>
      <w:r>
        <w:rPr>
          <w:rFonts w:ascii="Times New Roman;Times;Serif" w:hAnsi="Times New Roman;Times;Serif"/>
          <w:b w:val="false"/>
          <w:i w:val="false"/>
          <w:caps w:val="false"/>
          <w:smallCaps w:val="false"/>
          <w:sz w:val="20"/>
        </w:rPr>
        <w:t xml:space="preserve"> (Consent to Jurisdiction) hereof shall remain in full force and effect notwithstanding such termination. If A.G.P. elects to terminate this Agreement as provided in this </w:t>
      </w:r>
      <w:r>
        <w:rPr>
          <w:rFonts w:ascii="Times New Roman;Times;Serif" w:hAnsi="Times New Roman;Times;Serif"/>
          <w:b w:val="false"/>
          <w:i w:val="false"/>
          <w:caps w:val="false"/>
          <w:smallCaps w:val="false"/>
          <w:sz w:val="20"/>
          <w:u w:val="single"/>
        </w:rPr>
        <w:t>Section 13.a)</w:t>
      </w:r>
      <w:r>
        <w:rPr>
          <w:rFonts w:ascii="Times New Roman;Times;Serif" w:hAnsi="Times New Roman;Times;Serif"/>
          <w:b w:val="false"/>
          <w:i w:val="false"/>
          <w:caps w:val="false"/>
          <w:smallCaps w:val="false"/>
          <w:sz w:val="20"/>
        </w:rPr>
        <w:t xml:space="preserve">, A.G.P. shall provide the required notice as specified in </w:t>
      </w:r>
      <w:r>
        <w:rPr>
          <w:rFonts w:ascii="Times New Roman;Times;Serif" w:hAnsi="Times New Roman;Times;Serif"/>
          <w:b w:val="false"/>
          <w:i w:val="false"/>
          <w:caps w:val="false"/>
          <w:smallCaps w:val="false"/>
          <w:sz w:val="20"/>
          <w:u w:val="single"/>
        </w:rPr>
        <w:t>Section 14</w:t>
      </w:r>
      <w:r>
        <w:rPr>
          <w:rFonts w:ascii="Times New Roman;Times;Serif" w:hAnsi="Times New Roman;Times;Serif"/>
          <w:b w:val="false"/>
          <w:i w:val="false"/>
          <w:caps w:val="false"/>
          <w:smallCaps w:val="false"/>
          <w:sz w:val="20"/>
        </w:rPr>
        <w:t xml:space="preserve"> (Notices).</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Company shall have the right, by giving thirty (30) days’ written notice as hereinafter specified to terminate this Agreement in its sole discretion at any time after the date of this Agreement. Any such termination shall be without liability of any party to any other party except that the provisions of </w:t>
      </w:r>
      <w:r>
        <w:rPr>
          <w:rFonts w:ascii="Times New Roman;Times;Serif" w:hAnsi="Times New Roman;Times;Serif"/>
          <w:b w:val="false"/>
          <w:i w:val="false"/>
          <w:caps w:val="false"/>
          <w:smallCaps w:val="false"/>
          <w:sz w:val="20"/>
          <w:u w:val="single"/>
        </w:rPr>
        <w:t>Section 9</w:t>
      </w:r>
      <w:r>
        <w:rPr>
          <w:rFonts w:ascii="Times New Roman;Times;Serif" w:hAnsi="Times New Roman;Times;Serif"/>
          <w:b w:val="false"/>
          <w:i w:val="false"/>
          <w:caps w:val="false"/>
          <w:smallCaps w:val="false"/>
          <w:sz w:val="20"/>
        </w:rPr>
        <w:t xml:space="preserve"> (Payment of Expenses), </w:t>
      </w: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 xml:space="preserve"> (Indemnification and Contribution), </w:t>
      </w:r>
      <w:r>
        <w:rPr>
          <w:rFonts w:ascii="Times New Roman;Times;Serif" w:hAnsi="Times New Roman;Times;Serif"/>
          <w:b w:val="false"/>
          <w:i w:val="false"/>
          <w:caps w:val="false"/>
          <w:smallCaps w:val="false"/>
          <w:sz w:val="20"/>
          <w:u w:val="single"/>
        </w:rPr>
        <w:t>Section 12</w:t>
      </w:r>
      <w:r>
        <w:rPr>
          <w:rFonts w:ascii="Times New Roman;Times;Serif" w:hAnsi="Times New Roman;Times;Serif"/>
          <w:b w:val="false"/>
          <w:i w:val="false"/>
          <w:caps w:val="false"/>
          <w:smallCaps w:val="false"/>
          <w:sz w:val="20"/>
        </w:rPr>
        <w:t xml:space="preserve"> (Representations and Agreements to Survive Delivery), </w:t>
      </w:r>
      <w:r>
        <w:rPr>
          <w:rFonts w:ascii="Times New Roman;Times;Serif" w:hAnsi="Times New Roman;Times;Serif"/>
          <w:b w:val="false"/>
          <w:i w:val="false"/>
          <w:caps w:val="false"/>
          <w:smallCaps w:val="false"/>
          <w:sz w:val="20"/>
          <w:u w:val="single"/>
        </w:rPr>
        <w:t>Section 18</w:t>
      </w:r>
      <w:r>
        <w:rPr>
          <w:rFonts w:ascii="Times New Roman;Times;Serif" w:hAnsi="Times New Roman;Times;Serif"/>
          <w:b w:val="false"/>
          <w:i w:val="false"/>
          <w:caps w:val="false"/>
          <w:smallCaps w:val="false"/>
          <w:sz w:val="20"/>
        </w:rPr>
        <w:t xml:space="preserve"> (Governing Law and Time; Waiver of Jury Trial), and </w:t>
      </w:r>
      <w:r>
        <w:rPr>
          <w:rFonts w:ascii="Times New Roman;Times;Serif" w:hAnsi="Times New Roman;Times;Serif"/>
          <w:b w:val="false"/>
          <w:i w:val="false"/>
          <w:caps w:val="false"/>
          <w:smallCaps w:val="false"/>
          <w:sz w:val="20"/>
          <w:u w:val="single"/>
        </w:rPr>
        <w:t>Section 19</w:t>
      </w:r>
      <w:r>
        <w:rPr>
          <w:rFonts w:ascii="Times New Roman;Times;Serif" w:hAnsi="Times New Roman;Times;Serif"/>
          <w:b w:val="false"/>
          <w:i w:val="false"/>
          <w:caps w:val="false"/>
          <w:smallCaps w:val="false"/>
          <w:sz w:val="20"/>
        </w:rPr>
        <w:t xml:space="preserve"> (Consent to Jurisdiction) hereof shall remain in full force and effect notwithstanding such termination.</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A.G.P. shall have the right, by giving thirty (30) days’ written notice as hereinafter specified to terminate this Agreement in its sole discretion at any time after the date of this Agreement. Any such termination shall be without liability of any party to any other party except that the provisions of </w:t>
      </w:r>
      <w:r>
        <w:rPr>
          <w:rFonts w:ascii="Times New Roman;Times;Serif" w:hAnsi="Times New Roman;Times;Serif"/>
          <w:b w:val="false"/>
          <w:i w:val="false"/>
          <w:caps w:val="false"/>
          <w:smallCaps w:val="false"/>
          <w:sz w:val="20"/>
          <w:u w:val="single"/>
        </w:rPr>
        <w:t>Section 9</w:t>
      </w:r>
      <w:r>
        <w:rPr>
          <w:rFonts w:ascii="Times New Roman;Times;Serif" w:hAnsi="Times New Roman;Times;Serif"/>
          <w:b w:val="false"/>
          <w:i w:val="false"/>
          <w:caps w:val="false"/>
          <w:smallCaps w:val="false"/>
          <w:sz w:val="20"/>
        </w:rPr>
        <w:t xml:space="preserve"> (Payment of Expenses), </w:t>
      </w: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 xml:space="preserve"> (Indemnification and Contribution), </w:t>
      </w:r>
      <w:r>
        <w:rPr>
          <w:rFonts w:ascii="Times New Roman;Times;Serif" w:hAnsi="Times New Roman;Times;Serif"/>
          <w:b w:val="false"/>
          <w:i w:val="false"/>
          <w:caps w:val="false"/>
          <w:smallCaps w:val="false"/>
          <w:sz w:val="20"/>
          <w:u w:val="single"/>
        </w:rPr>
        <w:t>Section 12</w:t>
      </w:r>
      <w:r>
        <w:rPr>
          <w:rFonts w:ascii="Times New Roman;Times;Serif" w:hAnsi="Times New Roman;Times;Serif"/>
          <w:b w:val="false"/>
          <w:i w:val="false"/>
          <w:caps w:val="false"/>
          <w:smallCaps w:val="false"/>
          <w:sz w:val="20"/>
        </w:rPr>
        <w:t xml:space="preserve"> (Representations and Agreements to Survive Delivery), </w:t>
      </w:r>
      <w:r>
        <w:rPr>
          <w:rFonts w:ascii="Times New Roman;Times;Serif" w:hAnsi="Times New Roman;Times;Serif"/>
          <w:b w:val="false"/>
          <w:i w:val="false"/>
          <w:caps w:val="false"/>
          <w:smallCaps w:val="false"/>
          <w:sz w:val="20"/>
          <w:u w:val="single"/>
        </w:rPr>
        <w:t>Section 18</w:t>
      </w:r>
      <w:r>
        <w:rPr>
          <w:rFonts w:ascii="Times New Roman;Times;Serif" w:hAnsi="Times New Roman;Times;Serif"/>
          <w:b w:val="false"/>
          <w:i w:val="false"/>
          <w:caps w:val="false"/>
          <w:smallCaps w:val="false"/>
          <w:sz w:val="20"/>
        </w:rPr>
        <w:t xml:space="preserve"> (Governing Law and Time; Waiver of Jury Trial), and </w:t>
      </w:r>
      <w:r>
        <w:rPr>
          <w:rFonts w:ascii="Times New Roman;Times;Serif" w:hAnsi="Times New Roman;Times;Serif"/>
          <w:b w:val="false"/>
          <w:i w:val="false"/>
          <w:caps w:val="false"/>
          <w:smallCaps w:val="false"/>
          <w:sz w:val="20"/>
          <w:u w:val="single"/>
        </w:rPr>
        <w:t>Section 19</w:t>
      </w:r>
      <w:r>
        <w:rPr>
          <w:rFonts w:ascii="Times New Roman;Times;Serif" w:hAnsi="Times New Roman;Times;Serif"/>
          <w:b w:val="false"/>
          <w:i w:val="false"/>
          <w:caps w:val="false"/>
          <w:smallCaps w:val="false"/>
          <w:sz w:val="20"/>
        </w:rPr>
        <w:t xml:space="preserve"> (Consent to Jurisdiction) hereof shall remain in full force and effect notwithstanding such termination.</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Unless earlier terminated pursuant to this </w:t>
      </w:r>
      <w:r>
        <w:rPr>
          <w:rFonts w:ascii="Times New Roman;Times;Serif" w:hAnsi="Times New Roman;Times;Serif"/>
          <w:b w:val="false"/>
          <w:i w:val="false"/>
          <w:caps w:val="false"/>
          <w:smallCaps w:val="false"/>
          <w:sz w:val="20"/>
          <w:u w:val="single"/>
        </w:rPr>
        <w:t>Section 13</w:t>
      </w:r>
      <w:r>
        <w:rPr>
          <w:rFonts w:ascii="Times New Roman;Times;Serif" w:hAnsi="Times New Roman;Times;Serif"/>
          <w:b w:val="false"/>
          <w:i w:val="false"/>
          <w:caps w:val="false"/>
          <w:smallCaps w:val="false"/>
          <w:sz w:val="20"/>
        </w:rPr>
        <w:t xml:space="preserve">, this Agreement shall terminate upon the earlier to occur of (i) the 36-month anniversary of the filing of the Prospectus Supplement, (ii) the issuance and sale of all of the Placement Shares through A.G.P. on the terms and subject to the conditions set forth herein and (iii) pursuant to </w:t>
      </w:r>
      <w:r>
        <w:rPr>
          <w:rFonts w:ascii="Times New Roman;Times;Serif" w:hAnsi="Times New Roman;Times;Serif"/>
          <w:b w:val="false"/>
          <w:i w:val="false"/>
          <w:caps w:val="false"/>
          <w:smallCaps w:val="false"/>
          <w:sz w:val="20"/>
          <w:u w:val="single"/>
        </w:rPr>
        <w:t>Sections 13.b)</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(c)</w:t>
      </w:r>
      <w:r>
        <w:rPr>
          <w:rFonts w:ascii="Times New Roman;Times;Serif" w:hAnsi="Times New Roman;Times;Serif"/>
          <w:b w:val="false"/>
          <w:i w:val="false"/>
          <w:caps w:val="false"/>
          <w:smallCaps w:val="false"/>
          <w:sz w:val="20"/>
        </w:rPr>
        <w:t xml:space="preserve"> above or otherwise by mutual agreement of the parties hereto, except that the provisions of </w:t>
      </w:r>
      <w:r>
        <w:rPr>
          <w:rFonts w:ascii="Times New Roman;Times;Serif" w:hAnsi="Times New Roman;Times;Serif"/>
          <w:b w:val="false"/>
          <w:i w:val="false"/>
          <w:caps w:val="false"/>
          <w:smallCaps w:val="false"/>
          <w:sz w:val="20"/>
          <w:u w:val="single"/>
        </w:rPr>
        <w:t>Section 9</w:t>
      </w:r>
      <w:r>
        <w:rPr>
          <w:rFonts w:ascii="Times New Roman;Times;Serif" w:hAnsi="Times New Roman;Times;Serif"/>
          <w:b w:val="false"/>
          <w:i w:val="false"/>
          <w:caps w:val="false"/>
          <w:smallCaps w:val="false"/>
          <w:sz w:val="20"/>
        </w:rPr>
        <w:t xml:space="preserve"> (Payment of Expenses), </w:t>
      </w: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 xml:space="preserve"> (Indemnification and Contribution), </w:t>
      </w:r>
      <w:r>
        <w:rPr>
          <w:rFonts w:ascii="Times New Roman;Times;Serif" w:hAnsi="Times New Roman;Times;Serif"/>
          <w:b w:val="false"/>
          <w:i w:val="false"/>
          <w:caps w:val="false"/>
          <w:smallCaps w:val="false"/>
          <w:sz w:val="20"/>
          <w:u w:val="single"/>
        </w:rPr>
        <w:t>Section 12</w:t>
      </w:r>
      <w:r>
        <w:rPr>
          <w:rFonts w:ascii="Times New Roman;Times;Serif" w:hAnsi="Times New Roman;Times;Serif"/>
          <w:b w:val="false"/>
          <w:i w:val="false"/>
          <w:caps w:val="false"/>
          <w:smallCaps w:val="false"/>
          <w:sz w:val="20"/>
        </w:rPr>
        <w:t xml:space="preserve"> (Representations and Agreements to Survive Delivery), </w:t>
      </w:r>
      <w:r>
        <w:rPr>
          <w:rFonts w:ascii="Times New Roman;Times;Serif" w:hAnsi="Times New Roman;Times;Serif"/>
          <w:b w:val="false"/>
          <w:i w:val="false"/>
          <w:caps w:val="false"/>
          <w:smallCaps w:val="false"/>
          <w:sz w:val="20"/>
          <w:u w:val="single"/>
        </w:rPr>
        <w:t>Section 18</w:t>
      </w:r>
      <w:r>
        <w:rPr>
          <w:rFonts w:ascii="Times New Roman;Times;Serif" w:hAnsi="Times New Roman;Times;Serif"/>
          <w:b w:val="false"/>
          <w:i w:val="false"/>
          <w:caps w:val="false"/>
          <w:smallCaps w:val="false"/>
          <w:sz w:val="20"/>
        </w:rPr>
        <w:t xml:space="preserve"> (Governing Law and Time; Waiver of Jury Trial), and </w:t>
      </w:r>
      <w:r>
        <w:rPr>
          <w:rFonts w:ascii="Times New Roman;Times;Serif" w:hAnsi="Times New Roman;Times;Serif"/>
          <w:b w:val="false"/>
          <w:i w:val="false"/>
          <w:caps w:val="false"/>
          <w:smallCaps w:val="false"/>
          <w:sz w:val="20"/>
          <w:u w:val="single"/>
        </w:rPr>
        <w:t>Section 19</w:t>
      </w:r>
      <w:r>
        <w:rPr>
          <w:rFonts w:ascii="Times New Roman;Times;Serif" w:hAnsi="Times New Roman;Times;Serif"/>
          <w:b w:val="false"/>
          <w:i w:val="false"/>
          <w:caps w:val="false"/>
          <w:smallCaps w:val="false"/>
          <w:sz w:val="20"/>
        </w:rPr>
        <w:t xml:space="preserve"> (Consent to Jurisdiction) hereof shall remain in full force and effect notwithstanding such termination.</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This Agreement shall remain in full force and effect unless terminated pursuant to </w:t>
      </w:r>
      <w:r>
        <w:rPr>
          <w:rFonts w:ascii="Times New Roman;Times;Serif" w:hAnsi="Times New Roman;Times;Serif"/>
          <w:b w:val="false"/>
          <w:i w:val="false"/>
          <w:caps w:val="false"/>
          <w:smallCaps w:val="false"/>
          <w:sz w:val="20"/>
          <w:u w:val="single"/>
        </w:rPr>
        <w:t>Sections 13.a)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(c)</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(d)</w:t>
      </w:r>
      <w:r>
        <w:rPr>
          <w:rFonts w:ascii="Times New Roman;Times;Serif" w:hAnsi="Times New Roman;Times;Serif"/>
          <w:b w:val="false"/>
          <w:i w:val="false"/>
          <w:caps w:val="false"/>
          <w:smallCaps w:val="false"/>
          <w:sz w:val="20"/>
        </w:rPr>
        <w:t xml:space="preserve"> above or otherwise by mutual written agreement of the parties hereto;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any such termination by mutual agreement shall in all cases be deemed to provide that </w:t>
      </w:r>
      <w:r>
        <w:rPr>
          <w:rFonts w:ascii="Times New Roman;Times;Serif" w:hAnsi="Times New Roman;Times;Serif"/>
          <w:b w:val="false"/>
          <w:i w:val="false"/>
          <w:caps w:val="false"/>
          <w:smallCaps w:val="false"/>
          <w:sz w:val="20"/>
          <w:u w:val="single"/>
        </w:rPr>
        <w:t>Section 9</w:t>
      </w:r>
      <w:r>
        <w:rPr>
          <w:rFonts w:ascii="Times New Roman;Times;Serif" w:hAnsi="Times New Roman;Times;Serif"/>
          <w:b w:val="false"/>
          <w:i w:val="false"/>
          <w:caps w:val="false"/>
          <w:smallCaps w:val="false"/>
          <w:sz w:val="20"/>
        </w:rPr>
        <w:t xml:space="preserve"> (Payment of Expenses), </w:t>
      </w: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 xml:space="preserve"> (Indemnification and Contribution), </w:t>
      </w:r>
      <w:r>
        <w:rPr>
          <w:rFonts w:ascii="Times New Roman;Times;Serif" w:hAnsi="Times New Roman;Times;Serif"/>
          <w:b w:val="false"/>
          <w:i w:val="false"/>
          <w:caps w:val="false"/>
          <w:smallCaps w:val="false"/>
          <w:sz w:val="20"/>
          <w:u w:val="single"/>
        </w:rPr>
        <w:t>Section 12</w:t>
      </w:r>
      <w:r>
        <w:rPr>
          <w:rFonts w:ascii="Times New Roman;Times;Serif" w:hAnsi="Times New Roman;Times;Serif"/>
          <w:b w:val="false"/>
          <w:i w:val="false"/>
          <w:caps w:val="false"/>
          <w:smallCaps w:val="false"/>
          <w:sz w:val="20"/>
        </w:rPr>
        <w:t xml:space="preserve"> (Representations and Agreements to Survive Delivery), </w:t>
      </w:r>
      <w:r>
        <w:rPr>
          <w:rFonts w:ascii="Times New Roman;Times;Serif" w:hAnsi="Times New Roman;Times;Serif"/>
          <w:b w:val="false"/>
          <w:i w:val="false"/>
          <w:caps w:val="false"/>
          <w:smallCaps w:val="false"/>
          <w:sz w:val="20"/>
          <w:u w:val="single"/>
        </w:rPr>
        <w:t>Section 18</w:t>
      </w:r>
      <w:r>
        <w:rPr>
          <w:rFonts w:ascii="Times New Roman;Times;Serif" w:hAnsi="Times New Roman;Times;Serif"/>
          <w:b w:val="false"/>
          <w:i w:val="false"/>
          <w:caps w:val="false"/>
          <w:smallCaps w:val="false"/>
          <w:sz w:val="20"/>
        </w:rPr>
        <w:t xml:space="preserve"> (Governing Law and Time; Waiver of Jury Trial), and </w:t>
      </w:r>
      <w:r>
        <w:rPr>
          <w:rFonts w:ascii="Times New Roman;Times;Serif" w:hAnsi="Times New Roman;Times;Serif"/>
          <w:b w:val="false"/>
          <w:i w:val="false"/>
          <w:caps w:val="false"/>
          <w:smallCaps w:val="false"/>
          <w:sz w:val="20"/>
          <w:u w:val="single"/>
        </w:rPr>
        <w:t>Section 19</w:t>
      </w:r>
      <w:r>
        <w:rPr>
          <w:rFonts w:ascii="Times New Roman;Times;Serif" w:hAnsi="Times New Roman;Times;Serif"/>
          <w:b w:val="false"/>
          <w:i w:val="false"/>
          <w:caps w:val="false"/>
          <w:smallCaps w:val="false"/>
          <w:sz w:val="20"/>
        </w:rPr>
        <w:t xml:space="preserve"> (Consent to Jurisdiction) shall remain in full force and effect. Upon termination of this Agreement, the Company shall not have any liability to A.G.P. for any discount, commission or other compensation with respect to any Placement Shares not otherwise sold by A.G.P. under this Agreement.</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Any termination of this Agreement shall be effective on the date specified in such notice of termination;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such termination shall not be effective until the close of business on the date of receipt of such notice by A.G.P. or the Company, as the case may be. If such termination shall occur prior to the Settlement Date for any sale of Placement Shares, such Placement Shares shall settle in accordance with the provisions of this Agreement.</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14.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All notices or other communications required or permitted to be given by any party to any other party pursuant to the terms of this Agreement shall be in writing, unless otherwise specified, and if sent to A.G.P., shall be delivered to:</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22</w:t>
            </w:r>
          </w:p>
        </w:tc>
        <w:tc>
          <w:tcPr>
            <w:tcW w:w="75" w:type="dxa"/>
            <w:tcBorders/>
            <w:vAlign w:val="center"/>
          </w:tcPr>
          <w:p>
            <w:pPr>
              <w:pStyle w:val="TableContents"/>
              <w:bidi w:val="0"/>
              <w:spacing w:before="0" w:after="283"/>
              <w:jc w:val="righ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40"/>
        <w:jc w:val="both"/>
        <w:rPr>
          <w:caps w:val="false"/>
          <w:smallCaps w:val="false"/>
        </w:rPr>
      </w:pPr>
      <w:r>
        <w:rPr>
          <w:caps w:val="false"/>
          <w:smallCaps w:val="false"/>
        </w:rPr>
        <w:t> </w:t>
      </w:r>
    </w:p>
    <w:tbl>
      <w:tblPr>
        <w:tblW w:w="3665" w:type="dxa"/>
        <w:jc w:val="left"/>
        <w:tblInd w:w="0" w:type="dxa"/>
        <w:tblLayout w:type="fixed"/>
        <w:tblCellMar>
          <w:top w:w="0" w:type="dxa"/>
          <w:left w:w="0" w:type="dxa"/>
          <w:bottom w:w="0" w:type="dxa"/>
          <w:right w:w="0" w:type="dxa"/>
        </w:tblCellMar>
      </w:tblPr>
      <w:tblGrid>
        <w:gridCol w:w="3665"/>
      </w:tblGrid>
      <w:tr>
        <w:trPr/>
        <w:tc>
          <w:tcPr>
            <w:tcW w:w="36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A.G.P./Alliance Global Partners</w:t>
            </w:r>
          </w:p>
        </w:tc>
      </w:tr>
      <w:tr>
        <w:trPr/>
        <w:tc>
          <w:tcPr>
            <w:tcW w:w="36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590 Madison Avenue, 28th Floor</w:t>
            </w:r>
          </w:p>
        </w:tc>
      </w:tr>
      <w:tr>
        <w:trPr/>
        <w:tc>
          <w:tcPr>
            <w:tcW w:w="36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10022</w:t>
            </w:r>
          </w:p>
        </w:tc>
      </w:tr>
      <w:tr>
        <w:trPr/>
        <w:tc>
          <w:tcPr>
            <w:tcW w:w="36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Thomas J. Higgins</w:t>
            </w:r>
          </w:p>
        </w:tc>
      </w:tr>
      <w:tr>
        <w:trPr/>
        <w:tc>
          <w:tcPr>
            <w:tcW w:w="36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Telephone: 212-624-2060</w:t>
            </w:r>
          </w:p>
        </w:tc>
      </w:tr>
      <w:tr>
        <w:trPr/>
        <w:tc>
          <w:tcPr>
            <w:tcW w:w="36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atm@allianceg.com</w:t>
            </w:r>
          </w:p>
        </w:tc>
      </w:tr>
      <w:tr>
        <w:trPr/>
        <w:tc>
          <w:tcPr>
            <w:tcW w:w="36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6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w:t>
            </w:r>
          </w:p>
        </w:tc>
      </w:tr>
      <w:tr>
        <w:trPr/>
        <w:tc>
          <w:tcPr>
            <w:tcW w:w="36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6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Thompson Hine LLP</w:t>
            </w:r>
          </w:p>
        </w:tc>
      </w:tr>
      <w:tr>
        <w:trPr/>
        <w:tc>
          <w:tcPr>
            <w:tcW w:w="36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0"/>
              </w:rPr>
              <w:t>300 Madison Avenue, 27</w:t>
            </w:r>
            <w:r>
              <w:rPr>
                <w:rFonts w:ascii="Times New Roman;Times;Serif" w:hAnsi="Times New Roman;Times;Serif"/>
                <w:b w:val="false"/>
                <w:i w:val="false"/>
                <w:caps w:val="false"/>
                <w:smallCaps w:val="false"/>
                <w:position w:val="8"/>
                <w:sz w:val="20"/>
                <w:sz w:val="25"/>
              </w:rPr>
              <w:t xml:space="preserve">th </w:t>
            </w:r>
            <w:r>
              <w:rPr>
                <w:rFonts w:ascii="Times New Roman;Times;Serif" w:hAnsi="Times New Roman;Times;Serif"/>
                <w:b w:val="false"/>
                <w:i w:val="false"/>
                <w:caps w:val="false"/>
                <w:smallCaps w:val="false"/>
                <w:sz w:val="20"/>
              </w:rPr>
              <w:t>Floor</w:t>
            </w:r>
          </w:p>
        </w:tc>
      </w:tr>
      <w:tr>
        <w:trPr/>
        <w:tc>
          <w:tcPr>
            <w:tcW w:w="36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10017</w:t>
            </w:r>
          </w:p>
        </w:tc>
      </w:tr>
      <w:tr>
        <w:trPr/>
        <w:tc>
          <w:tcPr>
            <w:tcW w:w="36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Faith L. Charles</w:t>
            </w:r>
          </w:p>
        </w:tc>
      </w:tr>
      <w:tr>
        <w:trPr/>
        <w:tc>
          <w:tcPr>
            <w:tcW w:w="36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Telephone: (212) 908-3905</w:t>
            </w:r>
          </w:p>
        </w:tc>
      </w:tr>
      <w:tr>
        <w:trPr/>
        <w:tc>
          <w:tcPr>
            <w:tcW w:w="36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faith.charles@thompsonhine.com</w:t>
            </w:r>
          </w:p>
        </w:tc>
      </w:tr>
      <w:tr>
        <w:trPr/>
        <w:tc>
          <w:tcPr>
            <w:tcW w:w="36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6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if to the Company, shall be delivered to:</w:t>
            </w:r>
          </w:p>
        </w:tc>
      </w:tr>
      <w:tr>
        <w:trPr/>
        <w:tc>
          <w:tcPr>
            <w:tcW w:w="36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6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AEye, Inc.</w:t>
            </w:r>
          </w:p>
        </w:tc>
      </w:tr>
      <w:tr>
        <w:trPr/>
        <w:tc>
          <w:tcPr>
            <w:tcW w:w="36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4670 Willow Road, Suite 125</w:t>
            </w:r>
          </w:p>
        </w:tc>
      </w:tr>
      <w:tr>
        <w:trPr/>
        <w:tc>
          <w:tcPr>
            <w:tcW w:w="36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Pleasanton, CA 94588</w:t>
            </w:r>
          </w:p>
        </w:tc>
      </w:tr>
      <w:tr>
        <w:trPr/>
        <w:tc>
          <w:tcPr>
            <w:tcW w:w="36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General Counsel</w:t>
            </w:r>
          </w:p>
        </w:tc>
      </w:tr>
      <w:tr>
        <w:trPr/>
        <w:tc>
          <w:tcPr>
            <w:tcW w:w="36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Telephone: (925) 400-4366</w:t>
            </w:r>
          </w:p>
        </w:tc>
      </w:tr>
      <w:tr>
        <w:trPr/>
        <w:tc>
          <w:tcPr>
            <w:tcW w:w="36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legal@aeye.ai</w:t>
            </w:r>
          </w:p>
        </w:tc>
      </w:tr>
      <w:tr>
        <w:trPr/>
        <w:tc>
          <w:tcPr>
            <w:tcW w:w="36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6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w:t>
            </w:r>
          </w:p>
        </w:tc>
      </w:tr>
      <w:tr>
        <w:trPr/>
        <w:tc>
          <w:tcPr>
            <w:tcW w:w="36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6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Allen Overy Shearman Sterling US LLP</w:t>
            </w:r>
          </w:p>
        </w:tc>
      </w:tr>
      <w:tr>
        <w:trPr/>
        <w:tc>
          <w:tcPr>
            <w:tcW w:w="36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800 Capitol Street, Suite 2200</w:t>
            </w:r>
          </w:p>
        </w:tc>
      </w:tr>
      <w:tr>
        <w:trPr/>
        <w:tc>
          <w:tcPr>
            <w:tcW w:w="36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Houston, Texas 77002</w:t>
            </w:r>
          </w:p>
        </w:tc>
      </w:tr>
      <w:tr>
        <w:trPr/>
        <w:tc>
          <w:tcPr>
            <w:tcW w:w="36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Taylor Landry</w:t>
            </w:r>
          </w:p>
        </w:tc>
      </w:tr>
      <w:tr>
        <w:trPr/>
        <w:tc>
          <w:tcPr>
            <w:tcW w:w="36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Telephone: (713) 354-4893</w:t>
            </w:r>
          </w:p>
        </w:tc>
      </w:tr>
      <w:tr>
        <w:trPr/>
        <w:tc>
          <w:tcPr>
            <w:tcW w:w="36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Email: </w:t>
            </w:r>
            <w:r>
              <w:rPr>
                <w:rFonts w:ascii="Times New Roman;Times;Serif" w:hAnsi="Times New Roman;Times;Serif"/>
                <w:b w:val="false"/>
                <w:i w:val="false"/>
                <w:caps w:val="false"/>
                <w:smallCaps w:val="false"/>
                <w:sz w:val="20"/>
                <w:u w:val="single"/>
              </w:rPr>
              <w:t>taylor.landry@aoshearman.com</w:t>
            </w:r>
          </w:p>
        </w:tc>
      </w:tr>
      <w:tr>
        <w:trPr/>
        <w:tc>
          <w:tcPr>
            <w:tcW w:w="366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party to this Agreement may change such address for notices by sending to the parties to this Agreement written notice of a new address for such purpose. Each such notice or other communication shall be deemed given (i) when delivered personally or by email on or before 4:30 p.m., New York City time, on a Business Day or, if such day is not a Business Day, on the next succeeding Business Day, (ii) on the next Business Day after timely delivery to a nationally-recognized overnight courier and (iii) on the Business Day actually received if deposited in the U.S. mail (certified or registered mail, return receipt requested, postage prepaid). For purposes of this Agreement, “</w:t>
      </w:r>
      <w:r>
        <w:rPr>
          <w:rFonts w:ascii="Times New Roman;Times;Serif" w:hAnsi="Times New Roman;Times;Serif"/>
          <w:b w:val="false"/>
          <w:i w:val="false"/>
          <w:caps w:val="false"/>
          <w:smallCaps w:val="false"/>
          <w:sz w:val="20"/>
          <w:u w:val="single"/>
        </w:rPr>
        <w:t>Business Day</w:t>
      </w:r>
      <w:r>
        <w:rPr>
          <w:rFonts w:ascii="Times New Roman;Times;Serif" w:hAnsi="Times New Roman;Times;Serif"/>
          <w:b w:val="false"/>
          <w:i w:val="false"/>
          <w:caps w:val="false"/>
          <w:smallCaps w:val="false"/>
          <w:sz w:val="20"/>
        </w:rPr>
        <w:t>” shall mean any day on which the Exchange and commercial banks in the City of New York are open for business.</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15. </w:t>
      </w:r>
      <w:r>
        <w:rPr>
          <w:rFonts w:ascii="Times New Roman;Times;Serif" w:hAnsi="Times New Roman;Times;Serif"/>
          <w:b w:val="false"/>
          <w:i w:val="false"/>
          <w:caps w:val="false"/>
          <w:smallCaps w:val="false"/>
          <w:sz w:val="20"/>
          <w:u w:val="single"/>
        </w:rPr>
        <w:t>Successors and Assigns</w:t>
      </w:r>
      <w:r>
        <w:rPr>
          <w:rFonts w:ascii="Times New Roman;Times;Serif" w:hAnsi="Times New Roman;Times;Serif"/>
          <w:b w:val="false"/>
          <w:i w:val="false"/>
          <w:caps w:val="false"/>
          <w:smallCaps w:val="false"/>
          <w:sz w:val="20"/>
        </w:rPr>
        <w:t xml:space="preserve">. This Agreement shall inure to the benefit of and be binding upon the Company and A.G.P. and their respective successors and permitted assigns, and the affiliates, controlling persons, officers and directors referred to in </w:t>
      </w: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 xml:space="preserve"> hereof. References to any of the parties hereto contained in this Agreement shall be deemed to include the successors and permitted assigns of such party. Nothing in this Agreement, express or implied, is intended to confer upon any party other than the parties hereto or their respective successors and permitted assigns any rights, remedies, obligations or liabilities under or by reason of this Agreement, except as expressly provided in this Agreement. Neither the Company nor A.G.P. may assign its rights or obligations under this Agreement without the prior written consent of the other party.</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16. </w:t>
      </w:r>
      <w:r>
        <w:rPr>
          <w:rFonts w:ascii="Times New Roman;Times;Serif" w:hAnsi="Times New Roman;Times;Serif"/>
          <w:b w:val="false"/>
          <w:i w:val="false"/>
          <w:caps w:val="false"/>
          <w:smallCaps w:val="false"/>
          <w:sz w:val="20"/>
          <w:u w:val="single"/>
        </w:rPr>
        <w:t>Adjustments for Stock Splits</w:t>
      </w:r>
      <w:r>
        <w:rPr>
          <w:rFonts w:ascii="Times New Roman;Times;Serif" w:hAnsi="Times New Roman;Times;Serif"/>
          <w:b w:val="false"/>
          <w:i w:val="false"/>
          <w:caps w:val="false"/>
          <w:smallCaps w:val="false"/>
          <w:sz w:val="20"/>
        </w:rPr>
        <w:t>. The parties hereto acknowledge and agree that all share-related numbers contained in this Agreement shall be adjusted to take into account any share consolidation, stock split, stock dividend, corporate domestication or similar event effected with respect to the Placement Shares.</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23</w:t>
            </w:r>
          </w:p>
        </w:tc>
        <w:tc>
          <w:tcPr>
            <w:tcW w:w="75" w:type="dxa"/>
            <w:tcBorders/>
            <w:vAlign w:val="center"/>
          </w:tcPr>
          <w:p>
            <w:pPr>
              <w:pStyle w:val="TableContents"/>
              <w:bidi w:val="0"/>
              <w:spacing w:before="0" w:after="283"/>
              <w:jc w:val="righ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17. </w:t>
      </w:r>
      <w:r>
        <w:rPr>
          <w:rFonts w:ascii="Times New Roman;Times;Serif" w:hAnsi="Times New Roman;Times;Serif"/>
          <w:b w:val="false"/>
          <w:i w:val="false"/>
          <w:caps w:val="false"/>
          <w:smallCaps w:val="false"/>
          <w:sz w:val="20"/>
          <w:u w:val="single"/>
        </w:rPr>
        <w:t>Entire Agreement; Amendment; Severability</w:t>
      </w:r>
      <w:r>
        <w:rPr>
          <w:rFonts w:ascii="Times New Roman;Times;Serif" w:hAnsi="Times New Roman;Times;Serif"/>
          <w:b w:val="false"/>
          <w:i w:val="false"/>
          <w:caps w:val="false"/>
          <w:smallCaps w:val="false"/>
          <w:sz w:val="20"/>
        </w:rPr>
        <w:t>. This Agreement (including all schedules and exhibits attached hereto and Placement Notices issued pursuant hereto) constitutes the entire agreement of the parties hereto with respect to the subject matter hereof and supersedes all other prior and contemporaneous agreements and undertakings, both written and oral, among the parties hereto with regard to the subject matter hereof. Neither this Agreement nor any term hereof may be amended except pursuant to a written instrument executed by the Company and A.G.P. In the event that any one or more of the provisions contained herein, or the application thereof in any circumstance, is held invalid, illegal or unenforceable as written by a court of competent jurisdiction, then such provision shall be given full force and effect to the fullest possible extent that it is valid, legal and enforceable, and the remainder of the terms and provisions herein shall be construed as if such invalid, illegal or unenforceable term or provision was not contained herein, but only to the extent that giving effect to such provision and the remainder of the terms and provisions hereof shall be in accordance with the intent of the parties hereto as reflected in this Agreement.</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18. </w:t>
      </w:r>
      <w:r>
        <w:rPr>
          <w:rFonts w:ascii="Times New Roman;Times;Serif" w:hAnsi="Times New Roman;Times;Serif"/>
          <w:b w:val="false"/>
          <w:i w:val="false"/>
          <w:caps w:val="false"/>
          <w:smallCaps w:val="false"/>
          <w:sz w:val="20"/>
          <w:u w:val="single"/>
        </w:rPr>
        <w:t>GOVERNING LAW AND TIME; WAIVER OF JURY TRIAL</w:t>
      </w:r>
      <w:r>
        <w:rPr>
          <w:rFonts w:ascii="Times New Roman;Times;Serif" w:hAnsi="Times New Roman;Times;Serif"/>
          <w:b w:val="false"/>
          <w:i w:val="false"/>
          <w:caps w:val="false"/>
          <w:smallCaps w:val="false"/>
          <w:sz w:val="20"/>
        </w:rPr>
        <w:t>. THIS AGREEMENT SHALL BE GOVERNED BY AND CONSTRUED IN ACCORDANCE WITH THE LAWS OF THE STATE OF DELAWARE WITHOUT REGARD TO THE PRINCIPLES OF CONFLICTS OF LAWS. SPECIFIED TIMES OF DAY REFER TO EASTERN TIME. THE COMPANY AND A.G.P. EACH HEREBY IRREVOCABLY WAIVES, TO THE FULLEST EXTENT PERMITTED BY APPLICABLE LAW, ANY AND ALL RIGHT TO TRIAL BY JURY IN ANY LEGAL PROCEEDING ARISING OUT OF OR RELATING TO THIS AGREEMENT OR THE TRANSACTIONS CONTEMPLATED HEREBY.</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19. </w:t>
      </w:r>
      <w:r>
        <w:rPr>
          <w:rFonts w:ascii="Times New Roman;Times;Serif" w:hAnsi="Times New Roman;Times;Serif"/>
          <w:b w:val="false"/>
          <w:i w:val="false"/>
          <w:caps w:val="false"/>
          <w:smallCaps w:val="false"/>
          <w:sz w:val="20"/>
          <w:u w:val="single"/>
        </w:rPr>
        <w:t>CONSENT TO JURISDICTION</w:t>
      </w:r>
      <w:r>
        <w:rPr>
          <w:rFonts w:ascii="Times New Roman;Times;Serif" w:hAnsi="Times New Roman;Times;Serif"/>
          <w:b w:val="false"/>
          <w:i w:val="false"/>
          <w:caps w:val="false"/>
          <w:smallCaps w:val="false"/>
          <w:sz w:val="20"/>
        </w:rPr>
        <w:t>. EACH PARTY HEREBY IRREVOCABLY SUBMITS TO THE NON-EXCLUSIVE JURISDICTION OF THE STATE AND FEDERAL COURTS SITTING IN THE CITY OF WILMINGTON, DELAWARE, FOR THE ADJUDICATION OF ANY DISPUTE HEREUNDER OR IN CONNECTION WITH ANY TRANSACTION CONTEMPLATED HEREBY,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EACH PARTY HEREBY IRREVOCABLY WAIVES PERSONAL SERVICE OF PROCESS AND CONSENTS TO PROCESS BEING SERVED IN ANY SUCH SUIT, ACTION OR PROCEEDING BY MAILING A COPY THEREOF (CERTIFIED OR REGISTERED MAIL, RETURN RECEIPT REQUESTED) TO SUCH PARTY AT THE ADDRESS IN EFFECT FOR NOTICES TO IT UNDER THIS AGREEMENT AND AGREES THAT SUCH SERVICE SHALL CONSTITUTE GOOD AND SUFFICIENT SERVICE OF PROCESS AND NOTICE THEREOF. NOTHING CONTAINED HEREIN SHALL BE DEEMED TO LIMIT IN ANY WAY ANY RIGHT TO SERVE PROCESS IN ANY MANNER PERMITTED BY LAW.</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20. </w:t>
      </w:r>
      <w:r>
        <w:rPr>
          <w:rFonts w:ascii="Times New Roman;Times;Serif" w:hAnsi="Times New Roman;Times;Serif"/>
          <w:b w:val="false"/>
          <w:i w:val="false"/>
          <w:caps w:val="false"/>
          <w:smallCaps w:val="false"/>
          <w:sz w:val="20"/>
          <w:u w:val="single"/>
        </w:rPr>
        <w:t>Use of Information</w:t>
      </w:r>
      <w:r>
        <w:rPr>
          <w:rFonts w:ascii="Times New Roman;Times;Serif" w:hAnsi="Times New Roman;Times;Serif"/>
          <w:b w:val="false"/>
          <w:i w:val="false"/>
          <w:caps w:val="false"/>
          <w:smallCaps w:val="false"/>
          <w:sz w:val="20"/>
        </w:rPr>
        <w:t>. A.G.P. may not use any information gained in connection with this Agreement and the transactions contemplated by this Agreement, including due diligence, to advise any party with respect to transactions not expressly approved by the Company.</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Agreement may be executed in two or more counterparts, each of which shall be deemed an original, but all of which together shall constitute one and the same instrument. Delivery of an executed Agreement by one party to the other may be made by facsimile transmission or email of a .pdf attachment (including any electronic signature covered by the U.S. federal ESIGN Act of 2000, Uniform Electronic Transactions Act, the Electronic Signatures and Records Act or other applicable law, e.g., www.docusign.com) or other transmission method and any counterpart so delivered shall be deemed to have been duly and validly delivered and be valid and effective for all purposes.</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 </w:t>
      </w:r>
      <w:r>
        <w:rPr>
          <w:rFonts w:ascii="Times New Roman;Times;Serif" w:hAnsi="Times New Roman;Times;Serif"/>
          <w:b w:val="false"/>
          <w:i w:val="false"/>
          <w:caps w:val="false"/>
          <w:smallCaps w:val="false"/>
          <w:sz w:val="20"/>
          <w:u w:val="single"/>
        </w:rPr>
        <w:t>Effect of Headings</w:t>
      </w:r>
      <w:r>
        <w:rPr>
          <w:rFonts w:ascii="Times New Roman;Times;Serif" w:hAnsi="Times New Roman;Times;Serif"/>
          <w:b w:val="false"/>
          <w:i w:val="false"/>
          <w:caps w:val="false"/>
          <w:smallCaps w:val="false"/>
          <w:sz w:val="20"/>
        </w:rPr>
        <w:t>. The section, Schedule and Exhibit headings herein are for convenience only and shall not affect the construction hereof. References herein to any law, statute, ordinance, code, regulation, rule or other requirement of any governmental authority, agency or body shall be deemed to refer to such law, statute, ordinance, code, regulation, rule or other requirement of any such authority, agency or body as amended, reenacted, supplemented or superseded in whole or in part and in effect from time to time and also to all rules and regulations promulgated thereunder.</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24</w:t>
            </w:r>
          </w:p>
        </w:tc>
        <w:tc>
          <w:tcPr>
            <w:tcW w:w="75" w:type="dxa"/>
            <w:tcBorders/>
            <w:vAlign w:val="center"/>
          </w:tcPr>
          <w:p>
            <w:pPr>
              <w:pStyle w:val="TableContents"/>
              <w:bidi w:val="0"/>
              <w:spacing w:before="0" w:after="283"/>
              <w:jc w:val="righ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23. </w:t>
      </w:r>
      <w:r>
        <w:rPr>
          <w:rFonts w:ascii="Times New Roman;Times;Serif" w:hAnsi="Times New Roman;Times;Serif"/>
          <w:b w:val="false"/>
          <w:i w:val="false"/>
          <w:caps w:val="false"/>
          <w:smallCaps w:val="false"/>
          <w:sz w:val="20"/>
          <w:u w:val="single"/>
        </w:rPr>
        <w:t>Permitted Free Writing Prospectuses</w:t>
      </w:r>
      <w:r>
        <w:rPr>
          <w:rFonts w:ascii="Times New Roman;Times;Serif" w:hAnsi="Times New Roman;Times;Serif"/>
          <w:b w:val="false"/>
          <w:i w:val="false"/>
          <w:caps w:val="false"/>
          <w:smallCaps w:val="false"/>
          <w:sz w:val="20"/>
        </w:rPr>
        <w:t>. The Company represents, warrants and agrees that, unless it obtains the prior consent of A.G.P. (such consent not to be unreasonably withheld, conditioned or delayed), and A.G.P. represents, warrants and agrees that, unless it obtains the prior consent of the Company (such consent not to be unreasonably withheld, conditioned or delayed), it has not made and will not make any offer relating to the Placement Shares that would constitute an Issuer Free Writing Prospectus, or that would otherwise constitute a “free writing prospectus,” as defined in Rule 405, required to be filed with the Commission. Any such free writing prospectus consented to by A.G.P. or by the Company, as the case may be, is hereinafter referred to as a “</w:t>
      </w:r>
      <w:r>
        <w:rPr>
          <w:rFonts w:ascii="Times New Roman;Times;Serif" w:hAnsi="Times New Roman;Times;Serif"/>
          <w:b w:val="false"/>
          <w:i w:val="false"/>
          <w:caps w:val="false"/>
          <w:smallCaps w:val="false"/>
          <w:sz w:val="20"/>
          <w:u w:val="single"/>
        </w:rPr>
        <w:t>Permitted Free Writing Prospectus</w:t>
      </w:r>
      <w:r>
        <w:rPr>
          <w:rFonts w:ascii="Times New Roman;Times;Serif" w:hAnsi="Times New Roman;Times;Serif"/>
          <w:b w:val="false"/>
          <w:i w:val="false"/>
          <w:caps w:val="false"/>
          <w:smallCaps w:val="false"/>
          <w:sz w:val="20"/>
        </w:rPr>
        <w:t xml:space="preserve">.” The Company represents and warrants that it has treated and agrees that it will treat each Permitted Free Writing Prospectus as an “issuer free writing prospectus,” as defined in Rule 433, and has complied and will comply with the requirements of Rule 433 applicable to any Permitted Free Writing Prospectus, including timely filing with the Commission where required, legending and record keeping. For the purposes of clarity, the parties hereto agree that all free writing prospectuses, if any, listed in </w:t>
      </w:r>
      <w:r>
        <w:rPr>
          <w:rFonts w:ascii="Times New Roman;Times;Serif" w:hAnsi="Times New Roman;Times;Serif"/>
          <w:b w:val="false"/>
          <w:i w:val="false"/>
          <w:caps w:val="false"/>
          <w:smallCaps w:val="false"/>
          <w:sz w:val="20"/>
          <w:u w:val="single"/>
        </w:rPr>
        <w:t>Exhibit 23</w:t>
      </w:r>
      <w:r>
        <w:rPr>
          <w:rFonts w:ascii="Times New Roman;Times;Serif" w:hAnsi="Times New Roman;Times;Serif"/>
          <w:b w:val="false"/>
          <w:i w:val="false"/>
          <w:caps w:val="false"/>
          <w:smallCaps w:val="false"/>
          <w:sz w:val="20"/>
        </w:rPr>
        <w:t xml:space="preserve"> hereto are Permitted Free Writing Prospectuses.</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24. </w:t>
      </w:r>
      <w:r>
        <w:rPr>
          <w:rFonts w:ascii="Times New Roman;Times;Serif" w:hAnsi="Times New Roman;Times;Serif"/>
          <w:b w:val="false"/>
          <w:i w:val="false"/>
          <w:caps w:val="false"/>
          <w:smallCaps w:val="false"/>
          <w:sz w:val="20"/>
          <w:u w:val="single"/>
        </w:rPr>
        <w:t>Absence of Fiduciary Relationship</w:t>
      </w:r>
      <w:r>
        <w:rPr>
          <w:rFonts w:ascii="Times New Roman;Times;Serif" w:hAnsi="Times New Roman;Times;Serif"/>
          <w:b w:val="false"/>
          <w:i w:val="false"/>
          <w:caps w:val="false"/>
          <w:smallCaps w:val="false"/>
          <w:sz w:val="20"/>
        </w:rPr>
        <w:t>. The Company acknowledges and agrees that:</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A.G.P. is acting solely as agent in connection with the public offering of the Placement Shares and in connection with each transaction contemplated by this Agreement and the process leading to such transactions, and no fiduciary or advisory relationship between the Company or any of its respective affiliates, stockholders (or other equity holders), creditors or employees or any other party, on the one hand, and A.G.P., on the other hand, has been or will be created in respect of any of the transactions contemplated by this Agreement, irrespective of whether or not A.G.P. has advised or is advising the Company on other matters, and A.G.P. has no obligation to the Company with respect to the transactions contemplated by this Agreement except the obligations expressly set forth in this Agreement;</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it is capable of evaluating and understanding, and understands and accepts, the terms, risks and conditions of the transactions contemplated by this Agreement;</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A.G.P. has not provided any legal, accounting, regulatory or tax advice with respect to the transactions contemplated by this Agreement and it has consulted its own legal, accounting, regulatory and tax advisors to the extent it has deemed appropriate;</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it is aware that A.G.P. and its affiliates are engaged in a broad range of transactions which may involve interests that differ from those of the Company and A.G.P. has no obligation to disclose such interests and transactions to the Company by virtue of any fiduciary, advisory or agency relationship or otherwise; and</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it waives, to the fullest extent permitted by law, any claims it may have against A.G.P. for breach of fiduciary duty or alleged breach of fiduciary duty in connection with the sale of Placement Shares under this Agreement and agrees that A.G.P. shall not have any liability (whether direct or indirect, in contract, tort or otherwise) to it in respect of such a fiduciary duty claim or to any person asserting a fiduciary duty claim on its behalf or in right of it or the Company, employees or creditors of Company, other than in respect of A.G.P.’s obligations under this Agreement and to keep information provided by the Company to A.G.P. and its counsel confidential to the extent not otherwise publicly-available.</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25.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 As used in this Agreement, the following terms have the respective meanings set forth below:</w:t>
      </w:r>
    </w:p>
    <w:p>
      <w:pPr>
        <w:pStyle w:val="TextBody"/>
        <w:bidi w:val="0"/>
        <w:spacing w:before="0" w:after="24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Applicable Time</w:t>
      </w:r>
      <w:r>
        <w:rPr>
          <w:rFonts w:ascii="Times New Roman;Times;Serif" w:hAnsi="Times New Roman;Times;Serif"/>
          <w:b w:val="false"/>
          <w:i w:val="false"/>
          <w:caps w:val="false"/>
          <w:smallCaps w:val="false"/>
          <w:sz w:val="20"/>
        </w:rPr>
        <w:t>” means (i) each Representation Date and (ii) the time of each sale of any Placement Shares pursuant to this Agreement.</w:t>
      </w:r>
    </w:p>
    <w:p>
      <w:pPr>
        <w:pStyle w:val="TextBody"/>
        <w:bidi w:val="0"/>
        <w:spacing w:before="0" w:after="24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Issuer Free Writing Prospectus</w:t>
      </w:r>
      <w:r>
        <w:rPr>
          <w:rFonts w:ascii="Times New Roman;Times;Serif" w:hAnsi="Times New Roman;Times;Serif"/>
          <w:b w:val="false"/>
          <w:i w:val="false"/>
          <w:caps w:val="false"/>
          <w:smallCaps w:val="false"/>
          <w:sz w:val="20"/>
        </w:rPr>
        <w:t>” means any “issuer free writing prospectus,” as defined in Rule 433, relating to the Placement Shares that (1) is required to be filed with the Commission by the Company, (2) is a “road show” that is a “written communication” within the meaning of Rule 433(d)(8)(i) whether or not required to be filed with the Commission, or (3) is exempt from filing pursuant to Rule 433(d)(5)(i) because it contains a description of the Placement Shares or of the offering that does not reflect the final terms, in each case in the form filed or required to be filed with the Commission or, if not required to be filed, in the form retained in the Company’s records pursuant to Rule 433(g) under the Securities Act.</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25</w:t>
            </w:r>
          </w:p>
        </w:tc>
        <w:tc>
          <w:tcPr>
            <w:tcW w:w="75" w:type="dxa"/>
            <w:tcBorders/>
            <w:vAlign w:val="center"/>
          </w:tcPr>
          <w:p>
            <w:pPr>
              <w:pStyle w:val="TableContents"/>
              <w:bidi w:val="0"/>
              <w:spacing w:before="0" w:after="283"/>
              <w:jc w:val="righ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4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Knowledge</w:t>
      </w:r>
      <w:r>
        <w:rPr>
          <w:rFonts w:ascii="Times New Roman;Times;Serif" w:hAnsi="Times New Roman;Times;Serif"/>
          <w:b w:val="false"/>
          <w:i w:val="false"/>
          <w:caps w:val="false"/>
          <w:smallCaps w:val="false"/>
          <w:sz w:val="20"/>
        </w:rPr>
        <w:t>” means the actual knowledge of any of the Company’s Chief Executive Officer, its Chief Financial Officer or its General Counsel, in each case after reasonable inquiry.</w:t>
      </w:r>
    </w:p>
    <w:p>
      <w:pPr>
        <w:pStyle w:val="TextBody"/>
        <w:bidi w:val="0"/>
        <w:spacing w:before="0" w:after="24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Rule 164</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Rule 172</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Rule 173</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Rule 405</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Rule 415</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Rule 424</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Rule 424(b)</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Rule 430B</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Rule 433</w:t>
      </w:r>
      <w:r>
        <w:rPr>
          <w:rFonts w:ascii="Times New Roman;Times;Serif" w:hAnsi="Times New Roman;Times;Serif"/>
          <w:b w:val="false"/>
          <w:i w:val="false"/>
          <w:caps w:val="false"/>
          <w:smallCaps w:val="false"/>
          <w:sz w:val="20"/>
        </w:rPr>
        <w:t>” refer to such rules under the Securities Act.</w:t>
      </w:r>
    </w:p>
    <w:p>
      <w:pPr>
        <w:pStyle w:val="TextBody"/>
        <w:bidi w:val="0"/>
        <w:spacing w:before="0" w:after="24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 Documents</w:t>
      </w:r>
      <w:r>
        <w:rPr>
          <w:rFonts w:ascii="Times New Roman;Times;Serif" w:hAnsi="Times New Roman;Times;Serif"/>
          <w:b w:val="false"/>
          <w:i w:val="false"/>
          <w:caps w:val="false"/>
          <w:smallCaps w:val="false"/>
          <w:sz w:val="20"/>
        </w:rPr>
        <w:t>” means (i) all reports, schedules, registrations, forms, statements, information and other documents filed with or furnished to the Commission by the Company pursuant to Section 13(a), 13(c), 14 or 15(d) of the Exchange Act during the two years prior to the date hereof, including, without limitation, the current report on Form 8-K, (ii) the Registration Statement, as the same may be amended from time to time, and the Prospectus and (iii) all information contained in such filings and all documents and disclosures that have been and heretofore shall be incorporated by reference therein.</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references in this Agreement to financial statements and schedules and other information that is “contained,” “included” or “stated” in the Registration Statement or the Prospectus (and all other references of like import) shall be deemed to mean and include all such financial statements and schedules and other information that is incorporated by reference in the Registration Statement or the Prospectus, as the case may be.</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references in this Agreement to the Registration Statement, the Prospectus or any amendment or supplement to any of the foregoing shall be deemed to include the copy filed with the Commission pursuant to EDGAR; all references in this Agreement to any Issuer Free Writing Prospectus (other than any Issuer Free Writing Prospectuses that, pursuant to Rule 433, are not required to be filed with the Commission) shall be deemed to include the copy thereof filed with the Commission pursuant to EDGAR; and all references in this Agreement to “supplements” to the Prospectus shall include, without limitation, any supplements, “wrappers” or similar materials prepared in connection with any offering, sale or private placement of any Placement Shares by A.G.P. outside of the United States.</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foregoing correctly sets forth the understanding between the Company and A.G.P., please so indicate in the space provided below for that purpose, whereupon this letter shall constitute a binding agreement between the Company and A.G.P.</w:t>
      </w:r>
    </w:p>
    <w:p>
      <w:pPr>
        <w:pStyle w:val="TextBody"/>
        <w:bidi w:val="0"/>
        <w:spacing w:before="0" w:after="24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26</w:t>
            </w:r>
          </w:p>
        </w:tc>
        <w:tc>
          <w:tcPr>
            <w:tcW w:w="75" w:type="dxa"/>
            <w:tcBorders/>
            <w:vAlign w:val="center"/>
          </w:tcPr>
          <w:p>
            <w:pPr>
              <w:pStyle w:val="TableContents"/>
              <w:bidi w:val="0"/>
              <w:spacing w:before="0" w:after="283"/>
              <w:jc w:val="righ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2575" w:type="dxa"/>
        <w:jc w:val="left"/>
        <w:tblInd w:w="0" w:type="dxa"/>
        <w:tblLayout w:type="fixed"/>
        <w:tblCellMar>
          <w:top w:w="0" w:type="dxa"/>
          <w:left w:w="0" w:type="dxa"/>
          <w:bottom w:w="0" w:type="dxa"/>
          <w:right w:w="0" w:type="dxa"/>
        </w:tblCellMar>
      </w:tblPr>
      <w:tblGrid>
        <w:gridCol w:w="560"/>
        <w:gridCol w:w="1940"/>
        <w:gridCol w:w="75"/>
      </w:tblGrid>
      <w:tr>
        <w:trPr/>
        <w:tc>
          <w:tcPr>
            <w:tcW w:w="2575" w:type="dxa"/>
            <w:gridSpan w:val="3"/>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tc>
      </w:tr>
      <w:tr>
        <w:trPr/>
        <w:tc>
          <w:tcPr>
            <w:tcW w:w="2575"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2575" w:type="dxa"/>
            <w:gridSpan w:val="3"/>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AEYE, INC.</w:t>
            </w:r>
          </w:p>
        </w:tc>
      </w:tr>
      <w:tr>
        <w:trPr/>
        <w:tc>
          <w:tcPr>
            <w:tcW w:w="2575"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2575"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194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Matthew Fisch</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9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Matthew Fisch</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9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575" w:type="dxa"/>
            <w:gridSpan w:val="3"/>
            <w:tcBorders/>
            <w:vAlign w:val="center"/>
          </w:tcPr>
          <w:p>
            <w:pPr>
              <w:pStyle w:val="TableContents"/>
              <w:bidi w:val="0"/>
              <w:spacing w:before="0" w:after="283"/>
              <w:jc w:val="left"/>
              <w:rPr>
                <w:sz w:val="4"/>
                <w:szCs w:val="4"/>
              </w:rPr>
            </w:pPr>
            <w:r>
              <w:rPr>
                <w:sz w:val="4"/>
                <w:szCs w:val="4"/>
              </w:rPr>
            </w:r>
          </w:p>
        </w:tc>
      </w:tr>
      <w:tr>
        <w:trPr/>
        <w:tc>
          <w:tcPr>
            <w:tcW w:w="2575" w:type="dxa"/>
            <w:gridSpan w:val="3"/>
            <w:tcBorders/>
            <w:vAlign w:val="center"/>
          </w:tcPr>
          <w:p>
            <w:pPr>
              <w:pStyle w:val="TableContents"/>
              <w:bidi w:val="0"/>
              <w:spacing w:before="0" w:after="283"/>
              <w:jc w:val="left"/>
              <w:rPr>
                <w:sz w:val="4"/>
                <w:szCs w:val="4"/>
              </w:rPr>
            </w:pPr>
            <w:r>
              <w:rPr>
                <w:sz w:val="4"/>
                <w:szCs w:val="4"/>
              </w:rPr>
            </w:r>
          </w:p>
        </w:tc>
      </w:tr>
      <w:tr>
        <w:trPr/>
        <w:tc>
          <w:tcPr>
            <w:tcW w:w="2575" w:type="dxa"/>
            <w:gridSpan w:val="3"/>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3918" w:type="dxa"/>
        <w:jc w:val="left"/>
        <w:tblInd w:w="0" w:type="dxa"/>
        <w:tblLayout w:type="fixed"/>
        <w:tblCellMar>
          <w:top w:w="0" w:type="dxa"/>
          <w:left w:w="0" w:type="dxa"/>
          <w:bottom w:w="0" w:type="dxa"/>
          <w:right w:w="0" w:type="dxa"/>
        </w:tblCellMar>
      </w:tblPr>
      <w:tblGrid>
        <w:gridCol w:w="966"/>
        <w:gridCol w:w="2743"/>
        <w:gridCol w:w="93"/>
        <w:gridCol w:w="116"/>
      </w:tblGrid>
      <w:tr>
        <w:trPr/>
        <w:tc>
          <w:tcPr>
            <w:tcW w:w="3918" w:type="dxa"/>
            <w:gridSpan w:val="4"/>
            <w:tcBorders/>
            <w:vAlign w:val="center"/>
          </w:tcPr>
          <w:p>
            <w:pPr>
              <w:pStyle w:val="TableContents"/>
              <w:bidi w:val="0"/>
              <w:spacing w:before="0" w:after="283"/>
              <w:jc w:val="left"/>
              <w:rPr>
                <w:caps w:val="false"/>
                <w:smallCaps w:val="false"/>
              </w:rPr>
            </w:pPr>
            <w:r>
              <w:rPr>
                <w:caps w:val="false"/>
                <w:smallCaps w:val="false"/>
              </w:rPr>
              <w:t> </w:t>
            </w:r>
          </w:p>
        </w:tc>
      </w:tr>
      <w:tr>
        <w:trPr/>
        <w:tc>
          <w:tcPr>
            <w:tcW w:w="3918" w:type="dxa"/>
            <w:gridSpan w:val="4"/>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ACCEPTED as of the date first-above written:</w:t>
            </w:r>
          </w:p>
        </w:tc>
      </w:tr>
      <w:tr>
        <w:trPr/>
        <w:tc>
          <w:tcPr>
            <w:tcW w:w="3918" w:type="dxa"/>
            <w:gridSpan w:val="4"/>
            <w:tcBorders/>
            <w:vAlign w:val="center"/>
          </w:tcPr>
          <w:p>
            <w:pPr>
              <w:pStyle w:val="TableContents"/>
              <w:bidi w:val="0"/>
              <w:spacing w:before="0" w:after="283"/>
              <w:jc w:val="left"/>
              <w:rPr>
                <w:caps w:val="false"/>
                <w:smallCaps w:val="false"/>
              </w:rPr>
            </w:pPr>
            <w:r>
              <w:rPr>
                <w:caps w:val="false"/>
                <w:smallCaps w:val="false"/>
              </w:rPr>
              <w:t> </w:t>
            </w:r>
          </w:p>
        </w:tc>
      </w:tr>
      <w:tr>
        <w:trPr/>
        <w:tc>
          <w:tcPr>
            <w:tcW w:w="3918" w:type="dxa"/>
            <w:gridSpan w:val="4"/>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A.G.P./ALLIANCE GLOBAL PARTNERS</w:t>
            </w:r>
          </w:p>
        </w:tc>
      </w:tr>
      <w:tr>
        <w:trPr/>
        <w:tc>
          <w:tcPr>
            <w:tcW w:w="3918" w:type="dxa"/>
            <w:gridSpan w:val="4"/>
            <w:tcBorders/>
            <w:vAlign w:val="center"/>
          </w:tcPr>
          <w:p>
            <w:pPr>
              <w:pStyle w:val="TableContents"/>
              <w:bidi w:val="0"/>
              <w:spacing w:before="0" w:after="283"/>
              <w:jc w:val="left"/>
              <w:rPr>
                <w:caps w:val="false"/>
                <w:smallCaps w:val="false"/>
              </w:rPr>
            </w:pPr>
            <w:r>
              <w:rPr>
                <w:caps w:val="false"/>
                <w:smallCaps w:val="false"/>
              </w:rPr>
              <w:t> </w:t>
            </w:r>
          </w:p>
        </w:tc>
      </w:tr>
      <w:tr>
        <w:trPr/>
        <w:tc>
          <w:tcPr>
            <w:tcW w:w="3918" w:type="dxa"/>
            <w:gridSpan w:val="4"/>
            <w:tcBorders/>
            <w:vAlign w:val="center"/>
          </w:tcPr>
          <w:p>
            <w:pPr>
              <w:pStyle w:val="TableContents"/>
              <w:bidi w:val="0"/>
              <w:spacing w:before="0" w:after="283"/>
              <w:jc w:val="left"/>
              <w:rPr>
                <w:caps w:val="false"/>
                <w:smallCaps w:val="false"/>
              </w:rPr>
            </w:pPr>
            <w:r>
              <w:rPr>
                <w:caps w:val="false"/>
                <w:smallCaps w:val="false"/>
              </w:rPr>
              <w:t> </w:t>
            </w:r>
          </w:p>
        </w:tc>
      </w:tr>
      <w:tr>
        <w:trPr/>
        <w:tc>
          <w:tcPr>
            <w:tcW w:w="96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2743"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Thomas J. Higgins</w:t>
            </w:r>
          </w:p>
        </w:tc>
        <w:tc>
          <w:tcPr>
            <w:tcW w:w="93" w:type="dxa"/>
            <w:tcBorders/>
            <w:vAlign w:val="center"/>
          </w:tcPr>
          <w:p>
            <w:pPr>
              <w:pStyle w:val="TableContents"/>
              <w:bidi w:val="0"/>
              <w:spacing w:before="0" w:after="283"/>
              <w:jc w:val="left"/>
              <w:rPr>
                <w:caps w:val="false"/>
                <w:smallCaps w:val="false"/>
              </w:rPr>
            </w:pPr>
            <w:r>
              <w:rPr>
                <w:caps w:val="false"/>
                <w:smallCaps w:val="false"/>
              </w:rPr>
              <w:t> </w:t>
            </w:r>
          </w:p>
        </w:tc>
        <w:tc>
          <w:tcPr>
            <w:tcW w:w="11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96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0"/>
              </w:rPr>
              <w:t>Name:</w:t>
            </w:r>
            <w:r>
              <w:rPr>
                <w:rFonts w:ascii="Times New Roman;Times;Serif" w:hAnsi="Times New Roman;Times;Serif"/>
                <w:b w:val="false"/>
                <w:i w:val="false"/>
                <w:caps w:val="false"/>
                <w:smallCaps w:val="false"/>
                <w:sz w:val="24"/>
              </w:rPr>
              <w:t xml:space="preserve"> </w:t>
            </w:r>
          </w:p>
        </w:tc>
        <w:tc>
          <w:tcPr>
            <w:tcW w:w="27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Thomas J. Higgins</w:t>
            </w:r>
          </w:p>
        </w:tc>
        <w:tc>
          <w:tcPr>
            <w:tcW w:w="93" w:type="dxa"/>
            <w:tcBorders/>
            <w:vAlign w:val="center"/>
          </w:tcPr>
          <w:p>
            <w:pPr>
              <w:pStyle w:val="TableContents"/>
              <w:bidi w:val="0"/>
              <w:spacing w:before="0" w:after="283"/>
              <w:jc w:val="left"/>
              <w:rPr>
                <w:caps w:val="false"/>
                <w:smallCaps w:val="false"/>
              </w:rPr>
            </w:pPr>
            <w:r>
              <w:rPr>
                <w:caps w:val="false"/>
                <w:smallCaps w:val="false"/>
              </w:rPr>
              <w:t> </w:t>
            </w:r>
          </w:p>
        </w:tc>
        <w:tc>
          <w:tcPr>
            <w:tcW w:w="11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96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7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Managing Director</w:t>
            </w:r>
          </w:p>
        </w:tc>
        <w:tc>
          <w:tcPr>
            <w:tcW w:w="93" w:type="dxa"/>
            <w:tcBorders/>
            <w:vAlign w:val="center"/>
          </w:tcPr>
          <w:p>
            <w:pPr>
              <w:pStyle w:val="TableContents"/>
              <w:bidi w:val="0"/>
              <w:spacing w:before="0" w:after="283"/>
              <w:jc w:val="left"/>
              <w:rPr>
                <w:caps w:val="false"/>
                <w:smallCaps w:val="false"/>
              </w:rPr>
            </w:pPr>
            <w:r>
              <w:rPr>
                <w:caps w:val="false"/>
                <w:smallCaps w:val="false"/>
              </w:rPr>
              <w:t> </w:t>
            </w:r>
          </w:p>
        </w:tc>
        <w:tc>
          <w:tcPr>
            <w:tcW w:w="11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918" w:type="dxa"/>
            <w:gridSpan w:val="4"/>
            <w:tcBorders/>
            <w:vAlign w:val="center"/>
          </w:tcPr>
          <w:p>
            <w:pPr>
              <w:pStyle w:val="TableContents"/>
              <w:bidi w:val="0"/>
              <w:spacing w:before="0" w:after="283"/>
              <w:jc w:val="left"/>
              <w:rPr>
                <w:sz w:val="4"/>
                <w:szCs w:val="4"/>
              </w:rPr>
            </w:pPr>
            <w:r>
              <w:rPr>
                <w:sz w:val="4"/>
                <w:szCs w:val="4"/>
              </w:rPr>
            </w:r>
          </w:p>
        </w:tc>
      </w:tr>
      <w:tr>
        <w:trPr/>
        <w:tc>
          <w:tcPr>
            <w:tcW w:w="3918" w:type="dxa"/>
            <w:gridSpan w:val="4"/>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4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27</w:t>
            </w:r>
          </w:p>
        </w:tc>
        <w:tc>
          <w:tcPr>
            <w:tcW w:w="75" w:type="dxa"/>
            <w:tcBorders/>
            <w:vAlign w:val="center"/>
          </w:tcPr>
          <w:p>
            <w:pPr>
              <w:pStyle w:val="TableContents"/>
              <w:bidi w:val="0"/>
              <w:spacing w:before="0" w:after="283"/>
              <w:jc w:val="righ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40"/>
        <w:jc w:val="center"/>
        <w:rPr>
          <w:caps w:val="false"/>
          <w:smallCaps w:val="false"/>
        </w:rPr>
      </w:pPr>
      <w:r>
        <w:rPr>
          <w:caps w:val="false"/>
          <w:smallCaps w:val="false"/>
        </w:rPr>
        <w:t> </w:t>
      </w:r>
    </w:p>
    <w:p>
      <w:pPr>
        <w:pStyle w:val="TextBody"/>
        <w:bidi w:val="0"/>
        <w:spacing w:before="0" w:after="240"/>
        <w:jc w:val="center"/>
        <w:rPr>
          <w:rFonts w:ascii="Times New Roman;Times;Serif" w:hAnsi="Times New Roman;Times;Serif"/>
          <w:b/>
          <w:i w:val="false"/>
          <w:caps/>
          <w:sz w:val="20"/>
        </w:rPr>
      </w:pPr>
      <w:r>
        <w:rPr>
          <w:rFonts w:ascii="Times New Roman;Times;Serif" w:hAnsi="Times New Roman;Times;Serif"/>
          <w:b/>
          <w:i w:val="false"/>
          <w:caps/>
          <w:sz w:val="20"/>
        </w:rPr>
        <w:t>SCHEDULE 1</w:t>
      </w:r>
    </w:p>
    <w:p>
      <w:pPr>
        <w:pStyle w:val="TextBody"/>
        <w:bidi w:val="0"/>
        <w:spacing w:before="0" w:after="240"/>
        <w:jc w:val="center"/>
        <w:rPr>
          <w:rFonts w:ascii="Times New Roman;Times;Serif" w:hAnsi="Times New Roman;Times;Serif"/>
          <w:b/>
          <w:i w:val="false"/>
          <w:caps/>
          <w:sz w:val="20"/>
        </w:rPr>
      </w:pPr>
      <w:r>
        <w:rPr>
          <w:rFonts w:ascii="Times New Roman;Times;Serif" w:hAnsi="Times New Roman;Times;Serif"/>
          <w:b/>
          <w:i w:val="false"/>
          <w:caps/>
          <w:sz w:val="20"/>
        </w:rPr>
        <w:t>AEye, INC.</w:t>
      </w:r>
    </w:p>
    <w:p>
      <w:pPr>
        <w:pStyle w:val="TextBody"/>
        <w:bidi w:val="0"/>
        <w:spacing w:before="0" w:after="240"/>
        <w:jc w:val="center"/>
        <w:rPr>
          <w:rFonts w:ascii="Times New Roman;Times;Serif" w:hAnsi="Times New Roman;Times;Serif"/>
          <w:b/>
          <w:i w:val="false"/>
          <w:caps/>
          <w:sz w:val="20"/>
        </w:rPr>
      </w:pPr>
      <w:r>
        <w:rPr>
          <w:rFonts w:ascii="Times New Roman;Times;Serif" w:hAnsi="Times New Roman;Times;Serif"/>
          <w:b/>
          <w:i w:val="false"/>
          <w:caps/>
          <w:sz w:val="20"/>
        </w:rPr>
        <w:t xml:space="preserve">FORM OF PLACEMENT NOTICE </w:t>
      </w:r>
    </w:p>
    <w:p>
      <w:pPr>
        <w:pStyle w:val="TextBody"/>
        <w:bidi w:val="0"/>
        <w:jc w:val="left"/>
        <w:rPr>
          <w:caps w:val="false"/>
          <w:smallCaps w:val="false"/>
        </w:rPr>
      </w:pPr>
      <w:r>
        <w:rPr>
          <w:caps w:val="false"/>
          <w:smallCaps w:val="false"/>
        </w:rPr>
        <w:t> </w:t>
      </w:r>
    </w:p>
    <w:tbl>
      <w:tblPr>
        <w:tblW w:w="3875" w:type="dxa"/>
        <w:jc w:val="left"/>
        <w:tblInd w:w="0" w:type="dxa"/>
        <w:tblLayout w:type="fixed"/>
        <w:tblCellMar>
          <w:top w:w="0" w:type="dxa"/>
          <w:left w:w="0" w:type="dxa"/>
          <w:bottom w:w="0" w:type="dxa"/>
          <w:right w:w="0" w:type="dxa"/>
        </w:tblCellMar>
      </w:tblPr>
      <w:tblGrid>
        <w:gridCol w:w="3875"/>
      </w:tblGrid>
      <w:tr>
        <w:trPr/>
        <w:tc>
          <w:tcPr>
            <w:tcW w:w="38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AEye, Inc.</w:t>
            </w:r>
          </w:p>
        </w:tc>
      </w:tr>
      <w:tr>
        <w:trPr/>
        <w:tc>
          <w:tcPr>
            <w:tcW w:w="38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8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A.G.P./Alliance Global Partners</w:t>
            </w:r>
          </w:p>
        </w:tc>
      </w:tr>
      <w:tr>
        <w:trPr/>
        <w:tc>
          <w:tcPr>
            <w:tcW w:w="38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8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w:t>
            </w:r>
          </w:p>
        </w:tc>
      </w:tr>
      <w:tr>
        <w:trPr/>
        <w:tc>
          <w:tcPr>
            <w:tcW w:w="38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8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At Market Issuance--Placement Notice</w:t>
            </w:r>
          </w:p>
        </w:tc>
      </w:tr>
    </w:tbl>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jc w:val="left"/>
        <w:rPr>
          <w:caps w:val="false"/>
          <w:smallCaps w:val="false"/>
        </w:rPr>
      </w:pPr>
      <w:r>
        <w:rPr>
          <w:caps w:val="false"/>
          <w:smallCaps w:val="false"/>
        </w:rPr>
        <w:t> </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terms and subject to the conditions contained in the At Market Issuance Sales Agreement between AEye, Inc., a Delaware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and A.G.P./Alliance Global Partners (“</w:t>
      </w:r>
      <w:r>
        <w:rPr>
          <w:rFonts w:ascii="Times New Roman;Times;Serif" w:hAnsi="Times New Roman;Times;Serif"/>
          <w:b w:val="false"/>
          <w:i w:val="false"/>
          <w:caps w:val="false"/>
          <w:smallCaps w:val="false"/>
          <w:sz w:val="20"/>
          <w:u w:val="single"/>
        </w:rPr>
        <w:t>A.G.P.</w:t>
      </w:r>
      <w:r>
        <w:rPr>
          <w:rFonts w:ascii="Times New Roman;Times;Serif" w:hAnsi="Times New Roman;Times;Serif"/>
          <w:b w:val="false"/>
          <w:i w:val="false"/>
          <w:caps w:val="false"/>
          <w:smallCaps w:val="false"/>
          <w:sz w:val="20"/>
        </w:rPr>
        <w:t>”), dated as of September 15, 2026, the Company hereby requests that A.G.P. sell up to [____] shares of the Company’s Common Stock, par value $0.0001 per share, at a minimum market price of $[_____] per share, during the time period beginning [month, day, time] and ending [month, day, time] [and with no more than [●] Placement Shares sold in any one Trading Day].</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also hereby authorizes the Agent to sell Placement Shares during Pre- &amp; Post-Market Trading under the parameters listed above or as may be communicated from time to time: </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 Yes</w:t>
      </w:r>
    </w:p>
    <w:p>
      <w:pPr>
        <w:pStyle w:val="TextBody"/>
        <w:bidi w:val="0"/>
        <w:spacing w:before="0" w:after="240"/>
        <w:ind w:left="0" w:right="0" w:firstLine="720"/>
        <w:jc w:val="both"/>
        <w:rPr>
          <w:caps w:val="false"/>
          <w:smallCaps w:val="false"/>
        </w:rPr>
      </w:pPr>
      <w:r>
        <w:rPr>
          <w:caps w:val="false"/>
          <w:smallCaps w:val="false"/>
        </w:rPr>
        <w:t> </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 No</w:t>
      </w:r>
    </w:p>
    <w:p>
      <w:pPr>
        <w:pStyle w:val="TextBody"/>
        <w:bidi w:val="0"/>
        <w:spacing w:before="0" w:after="240"/>
        <w:ind w:left="0" w:right="0" w:firstLine="720"/>
        <w:jc w:val="both"/>
        <w:rPr>
          <w:caps w:val="false"/>
          <w:smallCaps w:val="false"/>
        </w:rPr>
      </w:pPr>
      <w:r>
        <w:rPr>
          <w:caps w:val="false"/>
          <w:smallCaps w:val="false"/>
        </w:rPr>
        <w:t> </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include such other sale parameters as it deems appropriate.]</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Capitalized terms used and not defined herein shall have the respective meanings assigned to them in the Sales Agreement.</w:t>
      </w:r>
    </w:p>
    <w:p>
      <w:pPr>
        <w:pStyle w:val="TextBody"/>
        <w:bidi w:val="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28</w:t>
            </w:r>
          </w:p>
        </w:tc>
        <w:tc>
          <w:tcPr>
            <w:tcW w:w="75" w:type="dxa"/>
            <w:tcBorders/>
            <w:vAlign w:val="center"/>
          </w:tcPr>
          <w:p>
            <w:pPr>
              <w:pStyle w:val="TableContents"/>
              <w:bidi w:val="0"/>
              <w:spacing w:before="0" w:after="283"/>
              <w:jc w:val="righ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40"/>
        <w:jc w:val="center"/>
        <w:rPr>
          <w:caps w:val="false"/>
          <w:smallCaps w:val="false"/>
        </w:rPr>
      </w:pPr>
      <w:r>
        <w:rPr>
          <w:caps w:val="false"/>
          <w:smallCaps w:val="false"/>
        </w:rPr>
        <w:t> </w:t>
      </w:r>
    </w:p>
    <w:p>
      <w:pPr>
        <w:pStyle w:val="TextBody"/>
        <w:bidi w:val="0"/>
        <w:spacing w:before="0" w:after="240"/>
        <w:jc w:val="center"/>
        <w:rPr>
          <w:rFonts w:ascii="Times New Roman;Times;Serif" w:hAnsi="Times New Roman;Times;Serif"/>
          <w:b/>
          <w:i w:val="false"/>
          <w:caps/>
          <w:sz w:val="20"/>
        </w:rPr>
      </w:pPr>
      <w:r>
        <w:rPr>
          <w:rFonts w:ascii="Times New Roman;Times;Serif" w:hAnsi="Times New Roman;Times;Serif"/>
          <w:b/>
          <w:i w:val="false"/>
          <w:caps/>
          <w:sz w:val="20"/>
        </w:rPr>
        <w:t>SCHEDULE 2</w:t>
      </w:r>
    </w:p>
    <w:p>
      <w:pPr>
        <w:pStyle w:val="TextBody"/>
        <w:bidi w:val="0"/>
        <w:spacing w:before="0" w:after="24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A.G.P. shall be paid compensation up to 3.0% of the gross proceeds from the sales of the Placement Shares pursuant to the terms of this Agreement.</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29</w:t>
            </w:r>
          </w:p>
        </w:tc>
        <w:tc>
          <w:tcPr>
            <w:tcW w:w="75" w:type="dxa"/>
            <w:tcBorders/>
            <w:vAlign w:val="center"/>
          </w:tcPr>
          <w:p>
            <w:pPr>
              <w:pStyle w:val="TableContents"/>
              <w:bidi w:val="0"/>
              <w:spacing w:before="0" w:after="283"/>
              <w:jc w:val="righ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spacing w:before="0" w:after="240"/>
        <w:jc w:val="center"/>
        <w:rPr>
          <w:rFonts w:ascii="Times New Roman;Times;Serif" w:hAnsi="Times New Roman;Times;Serif"/>
          <w:b/>
          <w:i w:val="false"/>
          <w:caps/>
          <w:sz w:val="20"/>
        </w:rPr>
      </w:pPr>
      <w:r>
        <w:rPr>
          <w:rFonts w:ascii="Times New Roman;Times;Serif" w:hAnsi="Times New Roman;Times;Serif"/>
          <w:b/>
          <w:i w:val="false"/>
          <w:caps/>
          <w:sz w:val="20"/>
        </w:rPr>
        <w:t>SCHEDULE 3</w:t>
      </w:r>
    </w:p>
    <w:p>
      <w:pPr>
        <w:pStyle w:val="TextBody"/>
        <w:bidi w:val="0"/>
        <w:spacing w:before="0" w:after="24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Parties</w:t>
      </w:r>
    </w:p>
    <w:tbl>
      <w:tblPr>
        <w:tblW w:w="2665" w:type="dxa"/>
        <w:jc w:val="left"/>
        <w:tblInd w:w="0" w:type="dxa"/>
        <w:tblLayout w:type="fixed"/>
        <w:tblCellMar>
          <w:top w:w="0" w:type="dxa"/>
          <w:left w:w="0" w:type="dxa"/>
          <w:bottom w:w="0" w:type="dxa"/>
          <w:right w:w="0" w:type="dxa"/>
        </w:tblCellMar>
      </w:tblPr>
      <w:tblGrid>
        <w:gridCol w:w="1220"/>
        <w:gridCol w:w="1445"/>
      </w:tblGrid>
      <w:tr>
        <w:trPr/>
        <w:tc>
          <w:tcPr>
            <w:tcW w:w="1220" w:type="dxa"/>
            <w:tcBorders/>
            <w:vAlign w:val="center"/>
          </w:tcPr>
          <w:p>
            <w:pPr>
              <w:pStyle w:val="TableContents"/>
              <w:bidi w:val="0"/>
              <w:spacing w:before="0" w:after="283"/>
              <w:jc w:val="left"/>
              <w:rPr>
                <w:sz w:val="20"/>
                <w:u w:val="single"/>
              </w:rPr>
            </w:pPr>
            <w:r>
              <w:rPr>
                <w:sz w:val="20"/>
                <w:u w:val="single"/>
              </w:rPr>
              <w:t>The Company</w:t>
            </w:r>
          </w:p>
        </w:tc>
        <w:tc>
          <w:tcPr>
            <w:tcW w:w="1445" w:type="dxa"/>
            <w:tcBorders/>
            <w:vAlign w:val="center"/>
          </w:tcPr>
          <w:p>
            <w:pPr>
              <w:pStyle w:val="TableContents"/>
              <w:bidi w:val="0"/>
              <w:spacing w:before="0" w:after="283"/>
              <w:jc w:val="left"/>
              <w:rPr/>
            </w:pPr>
            <w:r>
              <w:rPr/>
              <w:t> </w:t>
            </w:r>
          </w:p>
        </w:tc>
      </w:tr>
      <w:tr>
        <w:trPr/>
        <w:tc>
          <w:tcPr>
            <w:tcW w:w="122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left"/>
              <w:rPr/>
            </w:pPr>
            <w:r>
              <w:rPr/>
              <w:t> </w:t>
            </w:r>
          </w:p>
        </w:tc>
      </w:tr>
      <w:tr>
        <w:trPr/>
        <w:tc>
          <w:tcPr>
            <w:tcW w:w="1220" w:type="dxa"/>
            <w:tcBorders/>
            <w:vAlign w:val="center"/>
          </w:tcPr>
          <w:p>
            <w:pPr>
              <w:pStyle w:val="TableContents"/>
              <w:bidi w:val="0"/>
              <w:spacing w:before="0" w:after="283"/>
              <w:jc w:val="left"/>
              <w:rPr>
                <w:sz w:val="20"/>
              </w:rPr>
            </w:pPr>
            <w:r>
              <w:rPr>
                <w:sz w:val="20"/>
              </w:rPr>
              <w:t>Conor Tierney</w:t>
            </w:r>
          </w:p>
        </w:tc>
        <w:tc>
          <w:tcPr>
            <w:tcW w:w="1445" w:type="dxa"/>
            <w:tcBorders/>
            <w:vAlign w:val="center"/>
          </w:tcPr>
          <w:p>
            <w:pPr>
              <w:pStyle w:val="TableContents"/>
              <w:bidi w:val="0"/>
              <w:spacing w:before="0" w:after="283"/>
              <w:jc w:val="left"/>
              <w:rPr>
                <w:sz w:val="20"/>
              </w:rPr>
            </w:pPr>
            <w:r>
              <w:rPr>
                <w:sz w:val="20"/>
              </w:rPr>
              <w:t>ctierney@aeye.ai</w:t>
            </w:r>
          </w:p>
        </w:tc>
      </w:tr>
      <w:tr>
        <w:trPr/>
        <w:tc>
          <w:tcPr>
            <w:tcW w:w="122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left"/>
              <w:rPr/>
            </w:pPr>
            <w:r>
              <w:rPr/>
              <w:t> </w:t>
            </w:r>
          </w:p>
        </w:tc>
      </w:tr>
      <w:tr>
        <w:trPr/>
        <w:tc>
          <w:tcPr>
            <w:tcW w:w="1220" w:type="dxa"/>
            <w:tcBorders/>
            <w:vAlign w:val="center"/>
          </w:tcPr>
          <w:p>
            <w:pPr>
              <w:pStyle w:val="TableContents"/>
              <w:bidi w:val="0"/>
              <w:spacing w:before="0" w:after="283"/>
              <w:jc w:val="left"/>
              <w:rPr>
                <w:sz w:val="20"/>
              </w:rPr>
            </w:pPr>
            <w:r>
              <w:rPr>
                <w:sz w:val="20"/>
              </w:rPr>
              <w:t>Siraj Husain</w:t>
            </w:r>
          </w:p>
        </w:tc>
        <w:tc>
          <w:tcPr>
            <w:tcW w:w="1445" w:type="dxa"/>
            <w:tcBorders/>
            <w:vAlign w:val="center"/>
          </w:tcPr>
          <w:p>
            <w:pPr>
              <w:pStyle w:val="TableContents"/>
              <w:bidi w:val="0"/>
              <w:spacing w:before="0" w:after="283"/>
              <w:jc w:val="left"/>
              <w:rPr>
                <w:sz w:val="20"/>
              </w:rPr>
            </w:pPr>
            <w:r>
              <w:rPr>
                <w:sz w:val="20"/>
              </w:rPr>
              <w:t>shusain@aeye.ai</w:t>
            </w:r>
          </w:p>
        </w:tc>
      </w:tr>
      <w:tr>
        <w:trPr/>
        <w:tc>
          <w:tcPr>
            <w:tcW w:w="122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left"/>
              <w:rPr/>
            </w:pPr>
            <w:r>
              <w:rPr/>
              <w:t> </w:t>
            </w:r>
          </w:p>
        </w:tc>
      </w:tr>
      <w:tr>
        <w:trPr/>
        <w:tc>
          <w:tcPr>
            <w:tcW w:w="1220" w:type="dxa"/>
            <w:tcBorders/>
            <w:vAlign w:val="center"/>
          </w:tcPr>
          <w:p>
            <w:pPr>
              <w:pStyle w:val="TableContents"/>
              <w:bidi w:val="0"/>
              <w:spacing w:before="0" w:after="283"/>
              <w:jc w:val="left"/>
              <w:rPr>
                <w:sz w:val="20"/>
              </w:rPr>
            </w:pPr>
            <w:r>
              <w:rPr>
                <w:sz w:val="20"/>
              </w:rPr>
              <w:t>Nancy Huey</w:t>
            </w:r>
          </w:p>
        </w:tc>
        <w:tc>
          <w:tcPr>
            <w:tcW w:w="1445" w:type="dxa"/>
            <w:tcBorders/>
            <w:vAlign w:val="center"/>
          </w:tcPr>
          <w:p>
            <w:pPr>
              <w:pStyle w:val="TableContents"/>
              <w:bidi w:val="0"/>
              <w:spacing w:before="0" w:after="283"/>
              <w:jc w:val="left"/>
              <w:rPr>
                <w:sz w:val="20"/>
              </w:rPr>
            </w:pPr>
            <w:r>
              <w:rPr>
                <w:sz w:val="20"/>
              </w:rPr>
              <w:t>nhuey@aeye.ai</w:t>
            </w:r>
          </w:p>
        </w:tc>
      </w:tr>
      <w:tr>
        <w:trPr/>
        <w:tc>
          <w:tcPr>
            <w:tcW w:w="122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left"/>
              <w:rPr/>
            </w:pPr>
            <w:r>
              <w:rPr/>
              <w:t> </w:t>
            </w:r>
          </w:p>
        </w:tc>
      </w:tr>
      <w:tr>
        <w:trPr/>
        <w:tc>
          <w:tcPr>
            <w:tcW w:w="122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left"/>
              <w:rPr/>
            </w:pPr>
            <w:r>
              <w:rPr/>
              <w:t> </w:t>
            </w:r>
          </w:p>
        </w:tc>
      </w:tr>
      <w:tr>
        <w:trPr/>
        <w:tc>
          <w:tcPr>
            <w:tcW w:w="1220" w:type="dxa"/>
            <w:tcBorders/>
            <w:vAlign w:val="center"/>
          </w:tcPr>
          <w:p>
            <w:pPr>
              <w:pStyle w:val="TableContents"/>
              <w:bidi w:val="0"/>
              <w:spacing w:before="0" w:after="283"/>
              <w:jc w:val="left"/>
              <w:rPr>
                <w:sz w:val="20"/>
                <w:u w:val="single"/>
              </w:rPr>
            </w:pPr>
            <w:r>
              <w:rPr>
                <w:sz w:val="20"/>
                <w:u w:val="single"/>
              </w:rPr>
              <w:t>A.G.P.</w:t>
            </w:r>
          </w:p>
        </w:tc>
        <w:tc>
          <w:tcPr>
            <w:tcW w:w="1445" w:type="dxa"/>
            <w:tcBorders/>
            <w:vAlign w:val="center"/>
          </w:tcPr>
          <w:p>
            <w:pPr>
              <w:pStyle w:val="TableContents"/>
              <w:bidi w:val="0"/>
              <w:spacing w:before="0" w:after="283"/>
              <w:jc w:val="left"/>
              <w:rPr/>
            </w:pPr>
            <w:r>
              <w:rPr/>
              <w:t> </w:t>
            </w:r>
          </w:p>
        </w:tc>
      </w:tr>
      <w:tr>
        <w:trPr/>
        <w:tc>
          <w:tcPr>
            <w:tcW w:w="122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left"/>
              <w:rPr/>
            </w:pPr>
            <w:r>
              <w:rPr/>
              <w:t> </w:t>
            </w:r>
          </w:p>
        </w:tc>
      </w:tr>
    </w:tbl>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Alex Yelensky (ayelensky@allianceg.com)</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copies to:</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ATMTrading@allianceg.com</w:t>
      </w:r>
    </w:p>
    <w:p>
      <w:pPr>
        <w:pStyle w:val="TextBody"/>
        <w:bidi w:val="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30</w:t>
            </w:r>
          </w:p>
        </w:tc>
        <w:tc>
          <w:tcPr>
            <w:tcW w:w="75" w:type="dxa"/>
            <w:tcBorders/>
            <w:vAlign w:val="center"/>
          </w:tcPr>
          <w:p>
            <w:pPr>
              <w:pStyle w:val="TableContents"/>
              <w:bidi w:val="0"/>
              <w:spacing w:before="0" w:after="283"/>
              <w:jc w:val="righ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sz w:val="20"/>
        </w:rPr>
      </w:pPr>
      <w:r>
        <w:rPr>
          <w:rFonts w:ascii="Times New Roman;Times;Serif" w:hAnsi="Times New Roman;Times;Serif"/>
          <w:b/>
          <w:i w:val="false"/>
          <w:caps/>
          <w:sz w:val="20"/>
        </w:rPr>
        <w:t>SCHEDULE 4</w:t>
      </w:r>
    </w:p>
    <w:p>
      <w:pPr>
        <w:pStyle w:val="TextBody"/>
        <w:bidi w:val="0"/>
        <w:jc w:val="center"/>
        <w:rPr>
          <w:caps w:val="false"/>
          <w:smallCaps w:val="false"/>
        </w:rPr>
      </w:pPr>
      <w:r>
        <w:rPr>
          <w:caps w:val="false"/>
          <w:smallCaps w:val="false"/>
        </w:rPr>
        <w:t> </w:t>
      </w:r>
    </w:p>
    <w:p>
      <w:pPr>
        <w:pStyle w:val="TextBody"/>
        <w:bidi w:val="0"/>
        <w:spacing w:before="0" w:after="24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Organization; No Violation or Default</w:t>
      </w:r>
    </w:p>
    <w:p>
      <w:pPr>
        <w:pStyle w:val="TextBody"/>
        <w:bidi w:val="0"/>
        <w:spacing w:before="0" w:after="24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Subsidiary is undergoing dissolution in its respective jurisdiction and is an exception to Sections 6(f) and 6(h). </w:t>
      </w:r>
    </w:p>
    <w:tbl>
      <w:tblPr>
        <w:tblW w:w="5000" w:type="pct"/>
        <w:jc w:val="left"/>
        <w:tblInd w:w="0" w:type="dxa"/>
        <w:tblLayout w:type="fixed"/>
        <w:tblCellMar>
          <w:top w:w="0" w:type="dxa"/>
          <w:left w:w="0" w:type="dxa"/>
          <w:bottom w:w="0" w:type="dxa"/>
          <w:right w:w="0" w:type="dxa"/>
        </w:tblCellMar>
      </w:tblPr>
      <w:tblGrid>
        <w:gridCol w:w="198"/>
        <w:gridCol w:w="418"/>
        <w:gridCol w:w="9589"/>
      </w:tblGrid>
      <w:tr>
        <w:trPr/>
        <w:tc>
          <w:tcPr>
            <w:tcW w:w="198"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20"/>
              </w:rPr>
            </w:pPr>
            <w:r>
              <w:rPr>
                <w:sz w:val="20"/>
              </w:rPr>
              <w:t>-</w:t>
            </w:r>
          </w:p>
        </w:tc>
        <w:tc>
          <w:tcPr>
            <w:tcW w:w="9589" w:type="dxa"/>
            <w:tcBorders/>
            <w:vAlign w:val="center"/>
          </w:tcPr>
          <w:p>
            <w:pPr>
              <w:pStyle w:val="TableContents"/>
              <w:bidi w:val="0"/>
              <w:spacing w:before="0" w:after="283"/>
              <w:jc w:val="both"/>
              <w:rPr>
                <w:sz w:val="20"/>
              </w:rPr>
            </w:pPr>
            <w:r>
              <w:rPr>
                <w:sz w:val="20"/>
              </w:rPr>
              <w:t>AEye Germany GmbH</w:t>
            </w:r>
          </w:p>
        </w:tc>
      </w:tr>
    </w:tbl>
    <w:p>
      <w:pPr>
        <w:pStyle w:val="TextBody"/>
        <w:bidi w:val="0"/>
        <w:spacing w:before="0" w:after="240"/>
        <w:ind w:left="720" w:right="0" w:hanging="360"/>
        <w:jc w:val="both"/>
        <w:rPr>
          <w:caps w:val="false"/>
          <w:smallCaps w:val="false"/>
        </w:rPr>
      </w:pPr>
      <w:r>
        <w:rPr>
          <w:caps w:val="false"/>
          <w:smallCaps w:val="false"/>
        </w:rPr>
        <w:t> </w:t>
      </w:r>
    </w:p>
    <w:p>
      <w:pPr>
        <w:pStyle w:val="TextBody"/>
        <w:bidi w:val="0"/>
        <w:spacing w:before="0" w:after="240"/>
        <w:ind w:left="720" w:right="0" w:hanging="36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31</w:t>
            </w:r>
          </w:p>
        </w:tc>
        <w:tc>
          <w:tcPr>
            <w:tcW w:w="75" w:type="dxa"/>
            <w:tcBorders/>
            <w:vAlign w:val="center"/>
          </w:tcPr>
          <w:p>
            <w:pPr>
              <w:pStyle w:val="TableContents"/>
              <w:bidi w:val="0"/>
              <w:spacing w:before="0" w:after="283"/>
              <w:jc w:val="righ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40"/>
        <w:ind w:left="720" w:right="0" w:hanging="36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EXHIBIT 7(</w:t>
      </w:r>
      <w:r>
        <w:rPr>
          <w:rFonts w:ascii="Times New Roman;Times;Serif" w:hAnsi="Times New Roman;Times;Serif"/>
          <w:b/>
          <w:i w:val="false"/>
          <w:caps w:val="false"/>
          <w:smallCaps w:val="false"/>
          <w:sz w:val="20"/>
        </w:rPr>
        <w:t>l</w:t>
      </w:r>
      <w:r>
        <w:rPr>
          <w:rFonts w:ascii="Times New Roman;Times;Serif" w:hAnsi="Times New Roman;Times;Serif"/>
          <w:b/>
          <w:i w:val="false"/>
          <w:caps/>
          <w:sz w:val="20"/>
        </w:rPr>
        <w:t>)</w:t>
      </w:r>
    </w:p>
    <w:p>
      <w:pPr>
        <w:pStyle w:val="TextBody"/>
        <w:bidi w:val="0"/>
        <w:spacing w:before="0" w:after="24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Representation Date Certificate</w:t>
      </w:r>
    </w:p>
    <w:p>
      <w:pPr>
        <w:pStyle w:val="TextBody"/>
        <w:bidi w:val="0"/>
        <w:spacing w:before="0" w:after="240"/>
        <w:jc w:val="center"/>
        <w:rPr>
          <w:rFonts w:ascii="Times New Roman;Times;Serif" w:hAnsi="Times New Roman;Times;Serif"/>
          <w:b w:val="false"/>
          <w:i w:val="false"/>
          <w:caps/>
          <w:sz w:val="20"/>
        </w:rPr>
      </w:pPr>
      <w:r>
        <w:rPr>
          <w:rFonts w:ascii="Times New Roman;Times;Serif" w:hAnsi="Times New Roman;Times;Serif"/>
          <w:b w:val="false"/>
          <w:i w:val="false"/>
          <w:caps/>
          <w:sz w:val="20"/>
        </w:rPr>
        <w:t>___________, 20___</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Representation Date Certificate (this “</w:t>
      </w:r>
      <w:r>
        <w:rPr>
          <w:rFonts w:ascii="Times New Roman;Times;Serif" w:hAnsi="Times New Roman;Times;Serif"/>
          <w:b w:val="false"/>
          <w:i w:val="false"/>
          <w:caps w:val="false"/>
          <w:smallCaps w:val="false"/>
          <w:sz w:val="20"/>
          <w:u w:val="single"/>
        </w:rPr>
        <w:t>Certificate</w:t>
      </w:r>
      <w:r>
        <w:rPr>
          <w:rFonts w:ascii="Times New Roman;Times;Serif" w:hAnsi="Times New Roman;Times;Serif"/>
          <w:b w:val="false"/>
          <w:i w:val="false"/>
          <w:caps w:val="false"/>
          <w:smallCaps w:val="false"/>
          <w:sz w:val="20"/>
        </w:rPr>
        <w:t>”) is executed and delivered in connection with Section 7(1) of the At Market Issuance Sales Agreement (the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dated as of September 15, 2026, and entered into between AEye, Inc.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and A.G.P./Alliance Global Partners. All capitalized terms used but not defined herein shall have the meanings given to such terms in the Agreement.</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hereby certifies as follows:</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As of the date of this Certificate (i) the Registration Statement does not contain any untrue statement of a material fact or omit to state a material fact required to be stated therein or necessary in order to make the statements therein not misleading and (ii) neither the Registration Statement nor the Prospectus contains any untrue statement of a material fact or omits to state a material fact required to be stated therein or necessary in order to make the statements therein, in light of the circumstances under which they were made, not misleading and (iii) no event has occurred as a result of which it is necessary to amend or supplement the Prospectus in order to make the statements therein not untrue or misleading for this paragraph 1 to be true.</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Each of the representations and warranties of the Company contained in the Agreement were, when originally made, and are, as of the date of this Certificate (unless such representation or warranty specifies a different date or time, then as of such date or time), true and correct in all material respects.</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Except as waived by A.G.P. in writing, each of the covenants required to be performed by the Company in the Agreement on or prior to this Representation Date, has been duly, timely and fully performed in all material respects and each condition required to be complied with by the Company on or prior to the date of this Representation Date, has been duly, timely and fully complied with in all material respects.</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Subsequent to the date of the most recent financial statements in the Prospectus, and except as described in the Prospectus, including Incorporated Documents, there has been no Material Adverse Effect.</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No stop order suspending the effectiveness of the Registration Statement or of any part thereof has been issued, and no proceedings for that purpose have been instituted or are pending or threatened by any securities or other governmental authority (including, without limitation, the Commission).</w:t>
      </w:r>
    </w:p>
    <w:p>
      <w:pPr>
        <w:pStyle w:val="TextBody"/>
        <w:bidi w:val="0"/>
        <w:spacing w:before="0" w:after="240"/>
        <w:ind w:left="0" w:right="0" w:firstLine="72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0"/>
        </w:rPr>
        <w:t>6. No order suspending the effectiveness of the Registration Statement or the qualification or registration of the Placement Shares under the securities or Blue Sky laws of any jurisdiction is in effect and no proceeding for such purpose is pending before, or threatened, to the Company’s Knowledge or in writing by, any securities or other governmental authority (including, without limitation, the Commission).</w:t>
      </w:r>
      <w:r>
        <w:rPr>
          <w:rFonts w:ascii="Times New Roman;Times;Serif" w:hAnsi="Times New Roman;Times;Serif"/>
          <w:b w:val="false"/>
          <w:i w:val="false"/>
          <w:caps w:val="false"/>
          <w:smallCaps w:val="false"/>
          <w:sz w:val="24"/>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has executed this Representation Date Certificate as of the date first written above.</w:t>
      </w:r>
    </w:p>
    <w:tbl>
      <w:tblPr>
        <w:tblW w:w="3905" w:type="dxa"/>
        <w:jc w:val="left"/>
        <w:tblInd w:w="0" w:type="dxa"/>
        <w:tblLayout w:type="fixed"/>
        <w:tblCellMar>
          <w:top w:w="0" w:type="dxa"/>
          <w:left w:w="0" w:type="dxa"/>
          <w:bottom w:w="0" w:type="dxa"/>
          <w:right w:w="0" w:type="dxa"/>
        </w:tblCellMar>
      </w:tblPr>
      <w:tblGrid>
        <w:gridCol w:w="3905"/>
      </w:tblGrid>
      <w:tr>
        <w:trPr/>
        <w:tc>
          <w:tcPr>
            <w:tcW w:w="390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AEYE, INC.</w:t>
            </w:r>
          </w:p>
        </w:tc>
      </w:tr>
      <w:tr>
        <w:trPr/>
        <w:tc>
          <w:tcPr>
            <w:tcW w:w="390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9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By:_________________________________</w:t>
            </w:r>
          </w:p>
        </w:tc>
      </w:tr>
      <w:tr>
        <w:trPr/>
        <w:tc>
          <w:tcPr>
            <w:tcW w:w="39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r>
      <w:tr>
        <w:trPr/>
        <w:tc>
          <w:tcPr>
            <w:tcW w:w="39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________________________________</w:t>
            </w:r>
          </w:p>
        </w:tc>
      </w:tr>
    </w:tbl>
    <w:p>
      <w:pPr>
        <w:pStyle w:val="TextBody"/>
        <w:bidi w:val="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32</w:t>
            </w:r>
          </w:p>
        </w:tc>
        <w:tc>
          <w:tcPr>
            <w:tcW w:w="75" w:type="dxa"/>
            <w:tcBorders/>
            <w:vAlign w:val="center"/>
          </w:tcPr>
          <w:p>
            <w:pPr>
              <w:pStyle w:val="TableContents"/>
              <w:bidi w:val="0"/>
              <w:spacing w:before="0" w:after="283"/>
              <w:jc w:val="righ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spacing w:before="0" w:after="240"/>
        <w:jc w:val="center"/>
        <w:rPr>
          <w:rFonts w:ascii="Times New Roman;Times;Serif" w:hAnsi="Times New Roman;Times;Serif"/>
          <w:b/>
          <w:i w:val="false"/>
          <w:caps/>
          <w:sz w:val="20"/>
        </w:rPr>
      </w:pPr>
      <w:r>
        <w:rPr>
          <w:rFonts w:ascii="Times New Roman;Times;Serif" w:hAnsi="Times New Roman;Times;Serif"/>
          <w:b/>
          <w:i w:val="false"/>
          <w:caps/>
          <w:sz w:val="20"/>
        </w:rPr>
        <w:t>EXHIBIT 23</w:t>
      </w:r>
    </w:p>
    <w:p>
      <w:pPr>
        <w:pStyle w:val="TextBody"/>
        <w:bidi w:val="0"/>
        <w:spacing w:before="0" w:after="24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Permitted Issuer Free Writing Prospectuses</w:t>
      </w:r>
    </w:p>
    <w:p>
      <w:pPr>
        <w:pStyle w:val="TextBody"/>
        <w:bidi w:val="0"/>
        <w:jc w:val="left"/>
        <w:rPr>
          <w:caps w:val="false"/>
          <w:smallCaps w:val="false"/>
        </w:rPr>
      </w:pPr>
      <w:r>
        <w:rPr>
          <w:caps w:val="false"/>
          <w:smallCaps w:val="false"/>
        </w:rPr>
        <w:t> </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33</w:t>
            </w:r>
          </w:p>
        </w:tc>
        <w:tc>
          <w:tcPr>
            <w:tcW w:w="75" w:type="dxa"/>
            <w:tcBorders/>
            <w:vAlign w:val="center"/>
          </w:tcPr>
          <w:p>
            <w:pPr>
              <w:pStyle w:val="TableContents"/>
              <w:bidi w:val="0"/>
              <w:spacing w:before="0" w:after="283"/>
              <w:jc w:val="righ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left"/>
        <w:rPr/>
      </w:pPr>
      <w:bookmarkStart w:id="25" w:name="ss6825285_ex0501.htm"/>
      <w:bookmarkStart w:id="26" w:name="ksss6825285_ex0501"/>
      <w:bookmarkEnd w:id="25"/>
      <w:bookmarkEnd w:id="26"/>
      <w:r>
        <w:rPr/>
        <w:t>  </w:t>
      </w:r>
      <w:r>
        <w:br w:type="page"/>
      </w:r>
    </w:p>
    <w:tbl>
      <w:tblPr>
        <w:tblW w:w="3255" w:type="dxa"/>
        <w:jc w:val="left"/>
        <w:tblInd w:w="0" w:type="dxa"/>
        <w:tblLayout w:type="fixed"/>
        <w:tblCellMar>
          <w:top w:w="0" w:type="dxa"/>
          <w:left w:w="0" w:type="dxa"/>
          <w:bottom w:w="0" w:type="dxa"/>
          <w:right w:w="0" w:type="dxa"/>
        </w:tblCellMar>
      </w:tblPr>
      <w:tblGrid>
        <w:gridCol w:w="3255"/>
      </w:tblGrid>
      <w:tr>
        <w:trPr/>
        <w:tc>
          <w:tcPr>
            <w:tcW w:w="3255" w:type="dxa"/>
            <w:tcBorders/>
            <w:vAlign w:val="center"/>
          </w:tcPr>
          <w:p>
            <w:pPr>
              <w:pStyle w:val="TableContents"/>
              <w:bidi w:val="0"/>
              <w:spacing w:before="0" w:after="283"/>
              <w:jc w:val="center"/>
              <w:rPr>
                <w:caps w:val="false"/>
                <w:smallCaps w:val="false"/>
                <w:color w:val="FF0000"/>
              </w:rPr>
            </w:pPr>
            <w:r>
              <w:rPr>
                <w:caps w:val="false"/>
                <w:smallCaps w:val="false"/>
                <w:color w:val="FF0000"/>
              </w:rPr>
              <w:drawing>
                <wp:inline distT="0" distB="0" distL="0" distR="0">
                  <wp:extent cx="2047875" cy="1714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47875" cy="171450"/>
                          </a:xfrm>
                          <a:prstGeom prst="rect">
                            <a:avLst/>
                          </a:prstGeom>
                        </pic:spPr>
                      </pic:pic>
                    </a:graphicData>
                  </a:graphic>
                </wp:inline>
              </w:drawing>
            </w:r>
          </w:p>
        </w:tc>
      </w:tr>
      <w:tr>
        <w:trPr/>
        <w:tc>
          <w:tcPr>
            <w:tcW w:w="3255" w:type="dxa"/>
            <w:tcBorders/>
            <w:vAlign w:val="center"/>
          </w:tcPr>
          <w:p>
            <w:pPr>
              <w:pStyle w:val="TableContents"/>
              <w:bidi w:val="0"/>
              <w:spacing w:before="120" w:after="120"/>
              <w:ind w:left="120" w:right="120" w:hanging="0"/>
              <w:jc w:val="center"/>
              <w:rPr>
                <w:caps/>
                <w:spacing w:val="10"/>
              </w:rPr>
            </w:pPr>
            <w:r>
              <w:rPr>
                <w:caps/>
                <w:spacing w:val="10"/>
              </w:rPr>
              <w:t> </w:t>
            </w:r>
          </w:p>
          <w:p>
            <w:pPr>
              <w:pStyle w:val="TableContents"/>
              <w:bidi w:val="0"/>
              <w:spacing w:lineRule="atLeast" w:line="200"/>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800 Capitol Street, Suite 2200</w:t>
            </w:r>
          </w:p>
          <w:p>
            <w:pPr>
              <w:pStyle w:val="TableContents"/>
              <w:bidi w:val="0"/>
              <w:spacing w:lineRule="atLeast" w:line="200"/>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Houston, Texas 77002</w:t>
            </w:r>
          </w:p>
          <w:p>
            <w:pPr>
              <w:pStyle w:val="TableContents"/>
              <w:bidi w:val="0"/>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+1.713.354.4900</w:t>
            </w:r>
          </w:p>
          <w:p>
            <w:pPr>
              <w:pStyle w:val="TableContents"/>
              <w:bidi w:val="0"/>
              <w:spacing w:before="120" w:after="120"/>
              <w:ind w:left="120" w:right="120" w:hanging="0"/>
              <w:jc w:val="center"/>
              <w:rPr>
                <w:caps/>
                <w:spacing w:val="10"/>
              </w:rPr>
            </w:pPr>
            <w:r>
              <w:rPr>
                <w:caps/>
                <w:spacing w:val="10"/>
              </w:rPr>
              <w:t> </w:t>
            </w:r>
          </w:p>
        </w:tc>
      </w:tr>
    </w:tbl>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5.1</w:t>
      </w:r>
    </w:p>
    <w:p>
      <w:pPr>
        <w:pStyle w:val="TextBody"/>
        <w:bidi w:val="0"/>
        <w:ind w:left="5040" w:right="0" w:hanging="0"/>
        <w:jc w:val="right"/>
        <w:rPr>
          <w:caps w:val="false"/>
          <w:smallCaps w:val="false"/>
        </w:rPr>
      </w:pPr>
      <w:r>
        <w:rPr>
          <w:caps w:val="false"/>
          <w:smallCaps w:val="false"/>
        </w:rPr>
        <w:t> </w:t>
      </w:r>
    </w:p>
    <w:p>
      <w:pPr>
        <w:pStyle w:val="TextBody"/>
        <w:bidi w:val="0"/>
        <w:spacing w:before="240" w:after="240"/>
        <w:ind w:left="240" w:right="24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15, 2026</w:t>
      </w:r>
    </w:p>
    <w:p>
      <w:pPr>
        <w:pStyle w:val="TextBody"/>
        <w:shd w:fill="FFFFFF" w:val="clear"/>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AEye, Inc.</w:t>
      </w:r>
    </w:p>
    <w:p>
      <w:pPr>
        <w:pStyle w:val="TextBody"/>
        <w:shd w:fill="FFFFFF" w:val="clear"/>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4670 Willow Road, Suite 125</w:t>
      </w:r>
    </w:p>
    <w:p>
      <w:pPr>
        <w:pStyle w:val="TextBody"/>
        <w:shd w:fill="FFFFFF" w:val="clear"/>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Pleasanton, CA 94588</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AEye, Inc.</w:t>
        <w:br/>
        <w:t>Registration Statement on Form S-3</w:t>
      </w:r>
    </w:p>
    <w:p>
      <w:pPr>
        <w:pStyle w:val="TextBody"/>
        <w:bidi w:val="0"/>
        <w:spacing w:before="240" w:after="240"/>
        <w:ind w:left="240" w:right="2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shd w:fill="FFFFFF" w:val="clear"/>
        <w:bidi w:val="0"/>
        <w:spacing w:before="240" w:after="240"/>
        <w:ind w:left="240" w:right="2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counsel to AEye, Inc., a Delaware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in connection with the preparation and filing by the Company of the Registration Statement on Form S-3 (Registration No. 333-296038, and such registration statement, including the documents incorporated by reference therein (the “</w:t>
      </w:r>
      <w:r>
        <w:rPr>
          <w:rFonts w:ascii="Times New Roman;Times;Serif" w:hAnsi="Times New Roman;Times;Serif"/>
          <w:b w:val="false"/>
          <w:i w:val="false"/>
          <w:caps w:val="false"/>
          <w:smallCaps w:val="false"/>
          <w:sz w:val="20"/>
          <w:u w:val="single"/>
        </w:rPr>
        <w:t>Registration Statement</w:t>
      </w:r>
      <w:r>
        <w:rPr>
          <w:rFonts w:ascii="Times New Roman;Times;Serif" w:hAnsi="Times New Roman;Times;Serif"/>
          <w:b w:val="false"/>
          <w:i w:val="false"/>
          <w:caps w:val="false"/>
          <w:smallCaps w:val="false"/>
          <w:sz w:val="20"/>
        </w:rPr>
        <w:t>”)) with the Securities and Exchange Commission (the “</w:t>
      </w:r>
      <w:r>
        <w:rPr>
          <w:rFonts w:ascii="Times New Roman;Times;Serif" w:hAnsi="Times New Roman;Times;Serif"/>
          <w:b w:val="false"/>
          <w:i w:val="false"/>
          <w:caps w:val="false"/>
          <w:smallCaps w:val="false"/>
          <w:sz w:val="20"/>
          <w:u w:val="single"/>
        </w:rPr>
        <w:t>Commission</w:t>
      </w:r>
      <w:r>
        <w:rPr>
          <w:rFonts w:ascii="Times New Roman;Times;Serif" w:hAnsi="Times New Roman;Times;Serif"/>
          <w:b w:val="false"/>
          <w:i w:val="false"/>
          <w:caps w:val="false"/>
          <w:smallCaps w:val="false"/>
          <w:sz w:val="20"/>
        </w:rPr>
        <w:t>”) under the Securities Act of 1933, as amended (the “</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relating to the offering from time to time, pursuant to Rule 415 under the Securities Act, by the Company of up to $50,000,000 of shares of common stock, par value $0.0001 per share, of the Company that may be issued and sold pursuant to the At Market Issuance Sales Agreement, dated as of September 15, 2026, by and between the Company and A.G.P./Alliance Global Partners (the “</w:t>
      </w:r>
      <w:r>
        <w:rPr>
          <w:rFonts w:ascii="Times New Roman;Times;Serif" w:hAnsi="Times New Roman;Times;Serif"/>
          <w:b w:val="false"/>
          <w:i w:val="false"/>
          <w:caps w:val="false"/>
          <w:smallCaps w:val="false"/>
          <w:sz w:val="20"/>
          <w:u w:val="single"/>
        </w:rPr>
        <w:t>Sales Agreement</w:t>
      </w:r>
      <w:r>
        <w:rPr>
          <w:rFonts w:ascii="Times New Roman;Times;Serif" w:hAnsi="Times New Roman;Times;Serif"/>
          <w:b w:val="false"/>
          <w:i w:val="false"/>
          <w:caps w:val="false"/>
          <w:smallCaps w:val="false"/>
          <w:sz w:val="20"/>
        </w:rPr>
        <w:t>,” and such shares, the “</w:t>
      </w:r>
      <w:r>
        <w:rPr>
          <w:rFonts w:ascii="Times New Roman;Times;Serif" w:hAnsi="Times New Roman;Times;Serif"/>
          <w:b w:val="false"/>
          <w:i w:val="false"/>
          <w:caps w:val="false"/>
          <w:smallCaps w:val="false"/>
          <w:sz w:val="20"/>
          <w:u w:val="single"/>
        </w:rPr>
        <w:t>Placement Shares</w:t>
      </w:r>
      <w:r>
        <w:rPr>
          <w:rFonts w:ascii="Times New Roman;Times;Serif" w:hAnsi="Times New Roman;Times;Serif"/>
          <w:b w:val="false"/>
          <w:i w:val="false"/>
          <w:caps w:val="false"/>
          <w:smallCaps w:val="false"/>
          <w:sz w:val="20"/>
        </w:rPr>
        <w:t>”).</w:t>
      </w:r>
    </w:p>
    <w:p>
      <w:pPr>
        <w:pStyle w:val="TextBody"/>
        <w:shd w:fill="FFFFFF" w:val="clear"/>
        <w:bidi w:val="0"/>
        <w:spacing w:before="240" w:after="240"/>
        <w:ind w:left="240" w:right="2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rendering the opinions expressed below, we have reviewed originals or copies of the following documents (the “</w:t>
      </w:r>
      <w:r>
        <w:rPr>
          <w:rFonts w:ascii="Times New Roman;Times;Serif" w:hAnsi="Times New Roman;Times;Serif"/>
          <w:b w:val="false"/>
          <w:i w:val="false"/>
          <w:caps w:val="false"/>
          <w:smallCaps w:val="false"/>
          <w:sz w:val="20"/>
          <w:u w:val="single"/>
        </w:rPr>
        <w:t>Opinion Documents</w:t>
      </w:r>
      <w:r>
        <w:rPr>
          <w:rFonts w:ascii="Times New Roman;Times;Serif" w:hAnsi="Times New Roman;Times;Serif"/>
          <w:b w:val="false"/>
          <w:i w:val="false"/>
          <w:caps w:val="false"/>
          <w:smallCaps w:val="false"/>
          <w:sz w:val="20"/>
        </w:rPr>
        <w:t>”):</w:t>
      </w:r>
    </w:p>
    <w:tbl>
      <w:tblPr>
        <w:tblW w:w="10205" w:type="dxa"/>
        <w:jc w:val="left"/>
        <w:tblInd w:w="0" w:type="dxa"/>
        <w:shd w:fill="FFFFFF" w:val="clear"/>
        <w:tblLayout w:type="fixed"/>
        <w:tblCellMar>
          <w:top w:w="0" w:type="dxa"/>
          <w:left w:w="0" w:type="dxa"/>
          <w:bottom w:w="0" w:type="dxa"/>
          <w:right w:w="0" w:type="dxa"/>
        </w:tblCellMar>
      </w:tblPr>
      <w:tblGrid>
        <w:gridCol w:w="219"/>
        <w:gridCol w:w="9986"/>
      </w:tblGrid>
      <w:tr>
        <w:trPr/>
        <w:tc>
          <w:tcPr>
            <w:tcW w:w="21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8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Second Amended and Restated Certificate of Incorporation and the Amended and Restated Bylaws of the Company, in each case, as amended through the date hereof (the “</w:t>
            </w:r>
            <w:r>
              <w:rPr>
                <w:rFonts w:ascii="Times New Roman;Times;Serif" w:hAnsi="Times New Roman;Times;Serif"/>
                <w:b w:val="false"/>
                <w:i w:val="false"/>
                <w:caps w:val="false"/>
                <w:smallCaps w:val="false"/>
                <w:sz w:val="20"/>
                <w:u w:val="single"/>
              </w:rPr>
              <w:t>Governing Documents</w:t>
            </w:r>
            <w:r>
              <w:rPr>
                <w:rFonts w:ascii="Times New Roman;Times;Serif" w:hAnsi="Times New Roman;Times;Serif"/>
                <w:b w:val="false"/>
                <w:i w:val="false"/>
                <w:caps w:val="false"/>
                <w:smallCaps w:val="false"/>
                <w:sz w:val="20"/>
              </w:rPr>
              <w:t>”);</w:t>
            </w:r>
          </w:p>
        </w:tc>
      </w:tr>
    </w:tbl>
    <w:p>
      <w:pPr>
        <w:pStyle w:val="TextBody"/>
        <w:bidi w:val="0"/>
        <w:jc w:val="left"/>
        <w:rPr>
          <w:caps w:val="false"/>
          <w:smallCaps w:val="false"/>
        </w:rPr>
      </w:pPr>
      <w:r>
        <w:rPr>
          <w:caps w:val="false"/>
          <w:smallCaps w:val="false"/>
        </w:rPr>
        <w:t> </w:t>
      </w:r>
    </w:p>
    <w:tbl>
      <w:tblPr>
        <w:tblW w:w="2065" w:type="dxa"/>
        <w:jc w:val="left"/>
        <w:tblInd w:w="0" w:type="dxa"/>
        <w:shd w:fill="FFFFFF" w:val="clear"/>
        <w:tblLayout w:type="fixed"/>
        <w:tblCellMar>
          <w:top w:w="0" w:type="dxa"/>
          <w:left w:w="0" w:type="dxa"/>
          <w:bottom w:w="0" w:type="dxa"/>
          <w:right w:w="0" w:type="dxa"/>
        </w:tblCellMar>
      </w:tblPr>
      <w:tblGrid>
        <w:gridCol w:w="260"/>
        <w:gridCol w:w="1805"/>
      </w:tblGrid>
      <w:tr>
        <w:trPr/>
        <w:tc>
          <w:tcPr>
            <w:tcW w:w="2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18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Sales Agreement;</w:t>
            </w:r>
          </w:p>
        </w:tc>
      </w:tr>
    </w:tbl>
    <w:p>
      <w:pPr>
        <w:pStyle w:val="TextBody"/>
        <w:bidi w:val="0"/>
        <w:jc w:val="left"/>
        <w:rPr>
          <w:caps w:val="false"/>
          <w:smallCaps w:val="false"/>
        </w:rPr>
      </w:pPr>
      <w:r>
        <w:rPr>
          <w:caps w:val="false"/>
          <w:smallCaps w:val="false"/>
        </w:rPr>
        <w:t> </w:t>
      </w:r>
    </w:p>
    <w:tbl>
      <w:tblPr>
        <w:tblW w:w="2605" w:type="dxa"/>
        <w:jc w:val="left"/>
        <w:tblInd w:w="0" w:type="dxa"/>
        <w:shd w:fill="FFFFFF" w:val="clear"/>
        <w:tblLayout w:type="fixed"/>
        <w:tblCellMar>
          <w:top w:w="0" w:type="dxa"/>
          <w:left w:w="0" w:type="dxa"/>
          <w:bottom w:w="0" w:type="dxa"/>
          <w:right w:w="0" w:type="dxa"/>
        </w:tblCellMar>
      </w:tblPr>
      <w:tblGrid>
        <w:gridCol w:w="245"/>
        <w:gridCol w:w="2360"/>
      </w:tblGrid>
      <w:tr>
        <w:trPr/>
        <w:tc>
          <w:tcPr>
            <w:tcW w:w="2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23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Registration Statement; </w:t>
            </w:r>
          </w:p>
        </w:tc>
      </w:tr>
    </w:tbl>
    <w:p>
      <w:pPr>
        <w:pStyle w:val="TextBody"/>
        <w:bidi w:val="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253"/>
        <w:gridCol w:w="9952"/>
      </w:tblGrid>
      <w:tr>
        <w:trPr/>
        <w:tc>
          <w:tcPr>
            <w:tcW w:w="25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5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Prospectus Supplement, dated September 15, 2026, filed with the Commission pursuant to Rule 424(b) under the Securities Act; and</w:t>
            </w:r>
          </w:p>
        </w:tc>
      </w:tr>
    </w:tbl>
    <w:p>
      <w:pPr>
        <w:pStyle w:val="TextBody"/>
        <w:bidi w:val="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217"/>
        <w:gridCol w:w="9988"/>
      </w:tblGrid>
      <w:tr>
        <w:trPr/>
        <w:tc>
          <w:tcPr>
            <w:tcW w:w="21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98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Such other corporate records of the Company, certificates of public officials and of officers of the Company and agreements and other documents as we have deemed necessary as a basis for the opinion expressed below. </w:t>
            </w:r>
          </w:p>
        </w:tc>
      </w:tr>
    </w:tbl>
    <w:p>
      <w:pPr>
        <w:pStyle w:val="TextBody"/>
        <w:shd w:fill="FFFFFF" w:val="clear"/>
        <w:bidi w:val="0"/>
        <w:jc w:val="left"/>
        <w:rPr>
          <w:caps w:val="false"/>
          <w:smallCaps w:val="false"/>
        </w:rPr>
      </w:pPr>
      <w:r>
        <w:rPr>
          <w:caps w:val="false"/>
          <w:smallCaps w:val="false"/>
        </w:rPr>
        <w:t> </w:t>
      </w:r>
    </w:p>
    <w:p>
      <w:pPr>
        <w:pStyle w:val="TextBody"/>
        <w:shd w:fill="FFFFFF" w:val="clear"/>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our review of the Opinion Documents, we have assumed:</w:t>
      </w:r>
    </w:p>
    <w:p>
      <w:pPr>
        <w:pStyle w:val="TextBody"/>
        <w:shd w:fill="FFFFFF" w:val="clear"/>
        <w:bidi w:val="0"/>
        <w:jc w:val="left"/>
        <w:rPr>
          <w:caps w:val="false"/>
          <w:smallCaps w:val="false"/>
        </w:rPr>
      </w:pPr>
      <w:r>
        <w:rPr>
          <w:caps w:val="false"/>
          <w:smallCaps w:val="false"/>
        </w:rPr>
        <w:t> </w:t>
      </w:r>
    </w:p>
    <w:p>
      <w:pPr>
        <w:pStyle w:val="TextBody"/>
        <w:shd w:fill="FFFFFF" w:val="clear"/>
        <w:bidi w:val="0"/>
        <w:ind w:left="720" w:right="0" w:hanging="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genuineness of all signatures;</w:t>
      </w:r>
    </w:p>
    <w:p>
      <w:pPr>
        <w:pStyle w:val="TextBody"/>
        <w:shd w:fill="FFFFFF" w:val="clear"/>
        <w:bidi w:val="0"/>
        <w:ind w:left="720" w:right="0" w:hanging="0"/>
        <w:jc w:val="left"/>
        <w:rPr>
          <w:caps w:val="false"/>
          <w:smallCaps w:val="false"/>
        </w:rPr>
      </w:pPr>
      <w:r>
        <w:rPr>
          <w:caps w:val="false"/>
          <w:smallCaps w:val="false"/>
        </w:rPr>
        <w:t> </w:t>
      </w:r>
    </w:p>
    <w:p>
      <w:pPr>
        <w:pStyle w:val="TextBody"/>
        <w:shd w:fill="FFFFFF" w:val="clear"/>
        <w:bidi w:val="0"/>
        <w:ind w:left="720" w:right="0" w:hanging="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authenticity of the originals of the documents submitted to us;</w:t>
      </w:r>
    </w:p>
    <w:p>
      <w:pPr>
        <w:pStyle w:val="TextBody"/>
        <w:shd w:fill="FFFFFF" w:val="clear"/>
        <w:bidi w:val="0"/>
        <w:ind w:left="720" w:right="0" w:hanging="0"/>
        <w:jc w:val="left"/>
        <w:rPr>
          <w:caps w:val="false"/>
          <w:smallCaps w:val="false"/>
        </w:rPr>
      </w:pPr>
      <w:r>
        <w:rPr>
          <w:caps w:val="false"/>
          <w:smallCaps w:val="false"/>
        </w:rPr>
        <w:t> </w:t>
      </w:r>
    </w:p>
    <w:p>
      <w:pPr>
        <w:pStyle w:val="TextBody"/>
        <w:shd w:fill="FFFFFF" w:val="clear"/>
        <w:bidi w:val="0"/>
        <w:ind w:left="720" w:right="0" w:hanging="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conformity to authentic originals of all documents submitted to us as copies; and</w:t>
      </w:r>
    </w:p>
    <w:p>
      <w:pPr>
        <w:pStyle w:val="TextBody"/>
        <w:shd w:fill="FFFFFF" w:val="clear"/>
        <w:bidi w:val="0"/>
        <w:ind w:left="720" w:right="0" w:hanging="0"/>
        <w:jc w:val="left"/>
        <w:rPr>
          <w:caps w:val="false"/>
          <w:smallCaps w:val="false"/>
        </w:rPr>
      </w:pPr>
      <w:r>
        <w:rPr>
          <w:caps w:val="false"/>
          <w:smallCaps w:val="false"/>
        </w:rPr>
        <w:t> </w:t>
      </w:r>
    </w:p>
    <w:p>
      <w:pPr>
        <w:pStyle w:val="TextBody"/>
        <w:bidi w:val="0"/>
        <w:ind w:left="5040" w:right="0" w:hanging="0"/>
        <w:jc w:val="right"/>
        <w:rPr>
          <w:caps w:val="false"/>
          <w:smallCaps w:val="false"/>
        </w:rPr>
      </w:pPr>
      <w:r>
        <w:rPr>
          <w:caps w:val="false"/>
          <w:smallCaps w:val="false"/>
        </w:rPr>
        <w:t> </w:t>
      </w:r>
    </w:p>
    <w:p>
      <w:pPr>
        <w:pStyle w:val="TextBody"/>
        <w:bidi w:val="0"/>
        <w:ind w:left="5040" w:right="0" w:hanging="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rFonts w:ascii="Arial Narrow;Helvetica;Sans-Serif" w:hAnsi="Arial Narrow;Helvetica;Sans-Serif"/>
                <w:b/>
                <w:i w:val="false"/>
                <w:caps w:val="false"/>
                <w:smallCaps w:val="false"/>
                <w:sz w:val="16"/>
              </w:rPr>
            </w:pPr>
            <w:r>
              <w:rPr>
                <w:rFonts w:ascii="Arial Narrow;Helvetica;Sans-Serif" w:hAnsi="Arial Narrow;Helvetica;Sans-Serif"/>
                <w:b/>
                <w:i w:val="false"/>
                <w:caps w:val="false"/>
                <w:smallCaps w:val="false"/>
                <w:sz w:val="16"/>
              </w:rPr>
              <w:t>AOSHEARMAN.COM</w:t>
            </w:r>
          </w:p>
        </w:tc>
      </w:tr>
      <w:tr>
        <w:trPr/>
        <w:tc>
          <w:tcPr>
            <w:tcW w:w="10205" w:type="dxa"/>
            <w:tcBorders/>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Allen Overy Shearman Sterling US LLP is a limited liability partnership organized under the laws of the State of Delaware. Allen Overy Shearman Sterling US LLP is affiliated with Allen Overy Shearman Sterling LLP, a limited liability partnership registered in England and Wales with registered number OC306763 and with its registered office at One Bishops Square, London E1 6AD. It is authorized and regulated by the Solicitors Regulation Authority of England and Wales (SRA number 401323). The term partner is used to refer to a member of Allen Overy Shearman Sterling LLP or an employee or consultant with equivalent standing and qualifications. A list of the members of Allen Overy Shearman Sterling LLP and of the non-members who are designated as partners is open to inspection at its registered office at One Bishops Square, London E1 6AD.</w:t>
            </w:r>
          </w:p>
        </w:tc>
      </w:tr>
    </w:tbl>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both"/>
        <w:rPr>
          <w:caps w:val="false"/>
          <w:smallCaps w:val="false"/>
          <w:color w:val="000000"/>
        </w:rPr>
      </w:pPr>
      <w:r>
        <w:rPr>
          <w:caps w:val="false"/>
          <w:smallCaps w:val="false"/>
          <w:color w:val="000000"/>
        </w:rPr>
        <w:t> </w:t>
      </w:r>
    </w:p>
    <w:p>
      <w:pPr>
        <w:pStyle w:val="TextBody"/>
        <w:shd w:fill="FFFFFF" w:val="clear"/>
        <w:bidi w:val="0"/>
        <w:ind w:left="720" w:right="0" w:hanging="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As to matters of fact, the truthfulness of the representations made in the Opinion Documents, and in certificates of public officials and officers of the Company.</w:t>
      </w:r>
    </w:p>
    <w:p>
      <w:pPr>
        <w:pStyle w:val="TextBody"/>
        <w:shd w:fill="FFFFFF" w:val="clear"/>
        <w:bidi w:val="0"/>
        <w:jc w:val="left"/>
        <w:rPr>
          <w:caps w:val="false"/>
          <w:smallCaps w:val="false"/>
        </w:rPr>
      </w:pPr>
      <w:r>
        <w:rPr>
          <w:caps w:val="false"/>
          <w:smallCaps w:val="false"/>
        </w:rPr>
        <w:t> </w:t>
      </w:r>
    </w:p>
    <w:p>
      <w:pPr>
        <w:pStyle w:val="TextBody"/>
        <w:shd w:fill="FFFFFF" w:val="clear"/>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also assumed that the Placement Shares, when issued, will be issued in accordance with and not in violation of any terms and conditions established by the Board of Directors or any committee thereof in the resolutions adopted by the Board of Directors or any such committee thereof with respect to the issuance of the Placement Shares (such approvals are referred to hereinafter as the “</w:t>
      </w:r>
      <w:r>
        <w:rPr>
          <w:rFonts w:ascii="Times New Roman;Times;Serif" w:hAnsi="Times New Roman;Times;Serif"/>
          <w:b/>
          <w:i w:val="false"/>
          <w:caps w:val="false"/>
          <w:smallCaps w:val="false"/>
          <w:sz w:val="20"/>
        </w:rPr>
        <w:t>Corporate Approvals</w:t>
      </w:r>
      <w:r>
        <w:rPr>
          <w:rFonts w:ascii="Times New Roman;Times;Serif" w:hAnsi="Times New Roman;Times;Serif"/>
          <w:b w:val="false"/>
          <w:i w:val="false"/>
          <w:caps w:val="false"/>
          <w:smallCaps w:val="false"/>
          <w:sz w:val="20"/>
        </w:rPr>
        <w:t>”).</w:t>
      </w:r>
    </w:p>
    <w:p>
      <w:pPr>
        <w:pStyle w:val="TextBody"/>
        <w:shd w:fill="FFFFFF" w:val="clear"/>
        <w:bidi w:val="0"/>
        <w:jc w:val="left"/>
        <w:rPr>
          <w:caps w:val="false"/>
          <w:smallCaps w:val="false"/>
        </w:rPr>
      </w:pPr>
      <w:r>
        <w:rPr>
          <w:caps w:val="false"/>
          <w:smallCaps w:val="false"/>
        </w:rPr>
        <w:t> </w:t>
      </w:r>
    </w:p>
    <w:p>
      <w:pPr>
        <w:pStyle w:val="TextBody"/>
        <w:shd w:fill="FFFFFF" w:val="clear"/>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independently established the validity of the foregoing assumptions. </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the foregoing and upon such other investigation as we have deemed necessary and subject to the qualifications set forth below, we are of the opinion that the Placement Shares have been duly authorized for issuance by the Company, and when issued and delivered by the Company pursuant to the Sales Agreement in the manner described in the Registration Statement and the Prospectus Supplement, and in accordance with the Corporate Approvals, will be validly issued, fully paid and non-assessable.</w:t>
      </w:r>
    </w:p>
    <w:p>
      <w:pPr>
        <w:pStyle w:val="TextBody"/>
        <w:shd w:fill="FFFFFF" w:val="clear"/>
        <w:bidi w:val="0"/>
        <w:spacing w:before="240" w:after="240"/>
        <w:ind w:left="240" w:right="2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letter is limited to the General Corporation Law of the State of Delaware and we do not express any opinion herein concerning any other law.</w:t>
      </w:r>
    </w:p>
    <w:p>
      <w:pPr>
        <w:pStyle w:val="TextBody"/>
        <w:shd w:fill="FFFFFF" w:val="clear"/>
        <w:bidi w:val="0"/>
        <w:spacing w:before="240" w:after="240"/>
        <w:ind w:left="240" w:right="2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letter is delivered to you in connection with the filing of the Registration Statement. This opinion letter may not be relied upon by you for any other purpose without our prior written consent.</w:t>
      </w:r>
    </w:p>
    <w:p>
      <w:pPr>
        <w:pStyle w:val="TextBody"/>
        <w:shd w:fill="FFFFFF" w:val="clear"/>
        <w:bidi w:val="0"/>
        <w:spacing w:before="240" w:after="240"/>
        <w:ind w:left="240" w:right="2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letter speaks only as of the date hereof. We expressly disclaim any responsibility to advise you of any development or circumstance of any kind, including any change of law or fact, that may occur after the date of this opinion letter and which might affect the opinions expressed herein.</w:t>
      </w:r>
    </w:p>
    <w:p>
      <w:pPr>
        <w:pStyle w:val="TextBody"/>
        <w:shd w:fill="FFFFFF" w:val="clear"/>
        <w:bidi w:val="0"/>
        <w:spacing w:before="240" w:after="240"/>
        <w:ind w:left="240" w:right="2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filing of this opinion letter as an exhibit to the Registration Statement and to the use of our name therein and in the Prospectus Supplement under the caption “Legal Matters.” In giving this consent, we do not hereby admit that we come within the category of persons whose consent is required under Section 7 of the Securities Act, or the rules and regulations of the Commission promulgated thereunder.</w:t>
      </w:r>
    </w:p>
    <w:p>
      <w:pPr>
        <w:pStyle w:val="TextBody"/>
        <w:shd w:fill="FFFFFF" w:val="clear"/>
        <w:bidi w:val="0"/>
        <w:spacing w:before="240" w:after="240"/>
        <w:ind w:left="240" w:right="2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p>
      <w:pPr>
        <w:pStyle w:val="TextBody"/>
        <w:shd w:fill="FFFFFF" w:val="clear"/>
        <w:bidi w:val="0"/>
        <w:spacing w:before="240" w:after="240"/>
        <w:ind w:left="240" w:right="2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Allen Overy Shearman Sterling US LLP</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TL/jl/jh/pg</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RER</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60" w:after="60"/>
        <w:jc w:val="left"/>
        <w:rPr>
          <w:bdr w:val="single" w:sz="16" w:space="1" w:color="000000"/>
        </w:rPr>
      </w:pPr>
      <w:r>
        <w:rPr>
          <w:bdr w:val="single" w:sz="16" w:space="1" w:color="000000"/>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0" w:after="283"/>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w:altName w:val="Helvetica"/>
    <w:charset w:val="01"/>
    <w:family w:val="auto"/>
    <w:pitch w:val="default"/>
  </w:font>
  <w:font w:name="Arial Narrow">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23</Pages>
  <Words>23674</Words>
  <Characters>125211</Characters>
  <CharactersWithSpaces>148841</CharactersWithSpaces>
  <Paragraphs>726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