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ss5150732_8k-2.htm"/>
      <w:bookmarkStart w:id="1" w:name="ksss5150732_8k2"/>
      <w:bookmarkEnd w:id="0"/>
      <w:bookmarkEnd w:id="1"/>
      <w:r>
        <w:rPr>
          <w:bdr w:val="single" w:sz="16" w:space="1" w:color="000000"/>
        </w:rPr>
        <w:t> </w:t>
      </w:r>
    </w:p>
    <w:p>
      <w:pPr>
        <w:pStyle w:val="TextBody"/>
        <w:bidi w:val="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FORM </w:t>
      </w:r>
      <w:bookmarkStart w:id="2" w:name="xdx_908_edei--DocumentType_c20250731__20"/>
      <w:bookmarkEnd w:id="2"/>
      <w:r>
        <w:rPr>
          <w:rFonts w:ascii="Times New Roman;Times;Serif" w:hAnsi="Times New Roman;Times;Serif"/>
          <w:b/>
          <w:i w:val="false"/>
          <w:caps w:val="false"/>
          <w:smallCaps w:val="false"/>
          <w:sz w:val="32"/>
        </w:rPr>
        <w:t>8-K</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July 31, 2025</w:t>
      </w:r>
    </w:p>
    <w:p>
      <w:pPr>
        <w:pStyle w:val="TextBody"/>
        <w:bidi w:val="0"/>
        <w:jc w:val="center"/>
        <w:rPr>
          <w:caps w:val="false"/>
          <w:smallCaps w:val="false"/>
        </w:rPr>
      </w:pPr>
      <w:r>
        <w:rPr>
          <w:caps w:val="false"/>
          <w:smallCaps w:val="false"/>
        </w:rPr>
        <w:t> </w:t>
      </w:r>
    </w:p>
    <w:p>
      <w:pPr>
        <w:pStyle w:val="TextBody"/>
        <w:pBdr>
          <w:bottom w:val="single" w:sz="8" w:space="1" w:color="000000"/>
        </w:pBdr>
        <w:bidi w:val="0"/>
        <w:jc w:val="center"/>
        <w:rPr>
          <w:rFonts w:ascii="Times New Roman;Times;Serif" w:hAnsi="Times New Roman;Times;Serif"/>
          <w:b/>
          <w:i w:val="false"/>
          <w:caps w:val="false"/>
          <w:smallCaps w:val="false"/>
          <w:sz w:val="32"/>
        </w:rPr>
      </w:pPr>
      <w:bookmarkStart w:id="4" w:name="xdx_905_edei--EntityRegistrantName_c2025"/>
      <w:bookmarkEnd w:id="4"/>
      <w:r>
        <w:rPr>
          <w:rFonts w:ascii="Times New Roman;Times;Serif" w:hAnsi="Times New Roman;Times;Serif"/>
          <w:b/>
          <w:i w:val="false"/>
          <w:caps w:val="false"/>
          <w:smallCaps w:val="false"/>
          <w:sz w:val="32"/>
        </w:rPr>
        <w:t>AEYE,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center"/>
        <w:rPr>
          <w:caps w:val="false"/>
          <w:smallCaps w:val="false"/>
        </w:rPr>
      </w:pPr>
      <w:r>
        <w:rPr>
          <w:caps w:val="false"/>
          <w:smallCaps w:val="false"/>
        </w:rPr>
        <w:t> </w:t>
      </w:r>
    </w:p>
    <w:tbl>
      <w:tblPr>
        <w:tblW w:w="7275" w:type="dxa"/>
        <w:jc w:val="left"/>
        <w:tblInd w:w="0" w:type="dxa"/>
        <w:tblLayout w:type="fixed"/>
        <w:tblCellMar>
          <w:top w:w="0" w:type="dxa"/>
          <w:left w:w="0" w:type="dxa"/>
          <w:bottom w:w="28" w:type="dxa"/>
          <w:right w:w="0" w:type="dxa"/>
        </w:tblCellMar>
      </w:tblPr>
      <w:tblGrid>
        <w:gridCol w:w="2165"/>
        <w:gridCol w:w="60"/>
        <w:gridCol w:w="2210"/>
        <w:gridCol w:w="60"/>
        <w:gridCol w:w="2780"/>
      </w:tblGrid>
      <w:tr>
        <w:trPr/>
        <w:tc>
          <w:tcPr>
            <w:tcW w:w="2165" w:type="dxa"/>
            <w:tcBorders>
              <w:bottom w:val="single" w:sz="8" w:space="0" w:color="000000"/>
            </w:tcBorders>
            <w:vAlign w:val="center"/>
          </w:tcPr>
          <w:p>
            <w:pPr>
              <w:pStyle w:val="TableContents"/>
              <w:bidi w:val="0"/>
              <w:spacing w:lineRule="auto" w:line="276" w:before="0" w:after="283"/>
              <w:jc w:val="center"/>
              <w:rPr>
                <w:b/>
                <w:sz w:val="20"/>
              </w:rPr>
            </w:pPr>
            <w:bookmarkStart w:id="5" w:name="xdx_906_edei--EntityIncorporationStateCo"/>
            <w:bookmarkEnd w:id="5"/>
            <w:r>
              <w:rPr>
                <w:b/>
                <w:sz w:val="20"/>
              </w:rPr>
              <w:t>Delaware</w:t>
            </w:r>
          </w:p>
        </w:tc>
        <w:tc>
          <w:tcPr>
            <w:tcW w:w="60" w:type="dxa"/>
            <w:tcBorders/>
            <w:tcMar>
              <w:bottom w:w="0" w:type="dxa"/>
            </w:tcMar>
            <w:vAlign w:val="center"/>
          </w:tcPr>
          <w:p>
            <w:pPr>
              <w:pStyle w:val="TableContents"/>
              <w:bidi w:val="0"/>
              <w:spacing w:lineRule="auto" w:line="276" w:before="0" w:after="283"/>
              <w:jc w:val="left"/>
              <w:rPr/>
            </w:pPr>
            <w:r>
              <w:rPr/>
              <w:t> </w:t>
            </w:r>
          </w:p>
        </w:tc>
        <w:tc>
          <w:tcPr>
            <w:tcW w:w="2210" w:type="dxa"/>
            <w:tcBorders>
              <w:bottom w:val="single" w:sz="8" w:space="0" w:color="000000"/>
            </w:tcBorders>
            <w:vAlign w:val="center"/>
          </w:tcPr>
          <w:p>
            <w:pPr>
              <w:pStyle w:val="TableContents"/>
              <w:bidi w:val="0"/>
              <w:spacing w:lineRule="auto" w:line="276" w:before="0" w:after="283"/>
              <w:jc w:val="center"/>
              <w:rPr>
                <w:b/>
                <w:sz w:val="20"/>
              </w:rPr>
            </w:pPr>
            <w:bookmarkStart w:id="6" w:name="xdx_902_edei--EntityFileNumber_c20250731"/>
            <w:bookmarkEnd w:id="6"/>
            <w:r>
              <w:rPr>
                <w:b/>
                <w:sz w:val="20"/>
              </w:rPr>
              <w:t>001-39699</w:t>
            </w:r>
          </w:p>
        </w:tc>
        <w:tc>
          <w:tcPr>
            <w:tcW w:w="60" w:type="dxa"/>
            <w:tcBorders/>
            <w:tcMar>
              <w:bottom w:w="0" w:type="dxa"/>
            </w:tcMar>
            <w:vAlign w:val="center"/>
          </w:tcPr>
          <w:p>
            <w:pPr>
              <w:pStyle w:val="TableContents"/>
              <w:bidi w:val="0"/>
              <w:spacing w:lineRule="auto" w:line="276" w:before="0" w:after="283"/>
              <w:jc w:val="left"/>
              <w:rPr/>
            </w:pPr>
            <w:r>
              <w:rPr/>
              <w:t> </w:t>
            </w:r>
          </w:p>
        </w:tc>
        <w:tc>
          <w:tcPr>
            <w:tcW w:w="2780" w:type="dxa"/>
            <w:tcBorders>
              <w:bottom w:val="single" w:sz="8" w:space="0" w:color="000000"/>
            </w:tcBorders>
            <w:vAlign w:val="center"/>
          </w:tcPr>
          <w:p>
            <w:pPr>
              <w:pStyle w:val="TableContents"/>
              <w:bidi w:val="0"/>
              <w:spacing w:lineRule="auto" w:line="276" w:before="0" w:after="283"/>
              <w:jc w:val="center"/>
              <w:rPr>
                <w:b/>
                <w:sz w:val="20"/>
              </w:rPr>
            </w:pPr>
            <w:bookmarkStart w:id="7" w:name="xdx_902_edei--EntityTaxIdentificationNum"/>
            <w:bookmarkEnd w:id="7"/>
            <w:r>
              <w:rPr>
                <w:b/>
                <w:sz w:val="20"/>
              </w:rPr>
              <w:t>37-1827430</w:t>
            </w:r>
          </w:p>
        </w:tc>
      </w:tr>
      <w:tr>
        <w:trPr/>
        <w:tc>
          <w:tcPr>
            <w:tcW w:w="2165" w:type="dxa"/>
            <w:tcBorders/>
            <w:tcMar>
              <w:bottom w:w="0" w:type="dxa"/>
            </w:tcMar>
            <w:vAlign w:val="center"/>
          </w:tcPr>
          <w:p>
            <w:pPr>
              <w:pStyle w:val="TableContents"/>
              <w:bidi w:val="0"/>
              <w:spacing w:lineRule="auto" w:line="276" w:before="0" w:after="283"/>
              <w:jc w:val="center"/>
              <w:rPr>
                <w:sz w:val="20"/>
              </w:rPr>
            </w:pPr>
            <w:r>
              <w:rPr>
                <w:sz w:val="20"/>
              </w:rPr>
              <w:t>(State or other jurisdiction</w:t>
            </w:r>
          </w:p>
        </w:tc>
        <w:tc>
          <w:tcPr>
            <w:tcW w:w="60" w:type="dxa"/>
            <w:tcBorders/>
            <w:tcMar>
              <w:bottom w:w="0" w:type="dxa"/>
            </w:tcMar>
            <w:vAlign w:val="center"/>
          </w:tcPr>
          <w:p>
            <w:pPr>
              <w:pStyle w:val="TableContents"/>
              <w:bidi w:val="0"/>
              <w:spacing w:lineRule="auto" w:line="276" w:before="0" w:after="283"/>
              <w:jc w:val="left"/>
              <w:rPr/>
            </w:pPr>
            <w:r>
              <w:rPr/>
              <w:t> </w:t>
            </w:r>
          </w:p>
        </w:tc>
        <w:tc>
          <w:tcPr>
            <w:tcW w:w="2210" w:type="dxa"/>
            <w:tcBorders/>
            <w:tcMar>
              <w:bottom w:w="0" w:type="dxa"/>
            </w:tcMar>
            <w:vAlign w:val="center"/>
          </w:tcPr>
          <w:p>
            <w:pPr>
              <w:pStyle w:val="TableContents"/>
              <w:bidi w:val="0"/>
              <w:spacing w:lineRule="auto" w:line="276" w:before="0" w:after="283"/>
              <w:jc w:val="center"/>
              <w:rPr>
                <w:sz w:val="20"/>
              </w:rPr>
            </w:pPr>
            <w:r>
              <w:rPr>
                <w:sz w:val="20"/>
              </w:rPr>
              <w:t>(Commission File Number)</w:t>
            </w:r>
          </w:p>
        </w:tc>
        <w:tc>
          <w:tcPr>
            <w:tcW w:w="60" w:type="dxa"/>
            <w:tcBorders/>
            <w:tcMar>
              <w:bottom w:w="0" w:type="dxa"/>
            </w:tcMar>
            <w:vAlign w:val="center"/>
          </w:tcPr>
          <w:p>
            <w:pPr>
              <w:pStyle w:val="TableContents"/>
              <w:bidi w:val="0"/>
              <w:spacing w:lineRule="auto" w:line="276" w:before="0" w:after="283"/>
              <w:jc w:val="left"/>
              <w:rPr/>
            </w:pPr>
            <w:r>
              <w:rPr/>
              <w:t> </w:t>
            </w:r>
          </w:p>
        </w:tc>
        <w:tc>
          <w:tcPr>
            <w:tcW w:w="2780" w:type="dxa"/>
            <w:tcBorders/>
            <w:tcMar>
              <w:bottom w:w="0" w:type="dxa"/>
            </w:tcMar>
            <w:vAlign w:val="center"/>
          </w:tcPr>
          <w:p>
            <w:pPr>
              <w:pStyle w:val="TableContents"/>
              <w:bidi w:val="0"/>
              <w:spacing w:lineRule="auto" w:line="276" w:before="0" w:after="283"/>
              <w:jc w:val="center"/>
              <w:rPr>
                <w:sz w:val="20"/>
              </w:rPr>
            </w:pPr>
            <w:r>
              <w:rPr>
                <w:sz w:val="20"/>
              </w:rPr>
              <w:t>(IRS Employer Identification No.)</w:t>
            </w:r>
          </w:p>
        </w:tc>
      </w:tr>
      <w:tr>
        <w:trPr/>
        <w:tc>
          <w:tcPr>
            <w:tcW w:w="2165" w:type="dxa"/>
            <w:tcBorders/>
            <w:tcMar>
              <w:bottom w:w="0" w:type="dxa"/>
            </w:tcMar>
            <w:vAlign w:val="center"/>
          </w:tcPr>
          <w:p>
            <w:pPr>
              <w:pStyle w:val="TableContents"/>
              <w:bidi w:val="0"/>
              <w:spacing w:lineRule="auto" w:line="276" w:before="0" w:after="283"/>
              <w:jc w:val="center"/>
              <w:rPr>
                <w:sz w:val="20"/>
              </w:rPr>
            </w:pPr>
            <w:r>
              <w:rPr>
                <w:sz w:val="20"/>
              </w:rPr>
              <w:t>of incorporation)</w:t>
            </w:r>
          </w:p>
        </w:tc>
        <w:tc>
          <w:tcPr>
            <w:tcW w:w="60" w:type="dxa"/>
            <w:tcBorders/>
            <w:tcMar>
              <w:bottom w:w="0" w:type="dxa"/>
            </w:tcMar>
            <w:vAlign w:val="center"/>
          </w:tcPr>
          <w:p>
            <w:pPr>
              <w:pStyle w:val="TableContents"/>
              <w:bidi w:val="0"/>
              <w:spacing w:lineRule="auto" w:line="276" w:before="0" w:after="283"/>
              <w:jc w:val="left"/>
              <w:rPr/>
            </w:pPr>
            <w:r>
              <w:rPr/>
              <w:t> </w:t>
            </w:r>
          </w:p>
        </w:tc>
        <w:tc>
          <w:tcPr>
            <w:tcW w:w="2210" w:type="dxa"/>
            <w:tcBorders/>
            <w:tcMar>
              <w:bottom w:w="0" w:type="dxa"/>
            </w:tcMar>
            <w:vAlign w:val="center"/>
          </w:tcPr>
          <w:p>
            <w:pPr>
              <w:pStyle w:val="TableContents"/>
              <w:bidi w:val="0"/>
              <w:spacing w:lineRule="auto" w:line="276" w:before="0" w:after="283"/>
              <w:jc w:val="center"/>
              <w:rPr/>
            </w:pPr>
            <w:r>
              <w:rPr/>
              <w:t> </w:t>
            </w:r>
          </w:p>
        </w:tc>
        <w:tc>
          <w:tcPr>
            <w:tcW w:w="60" w:type="dxa"/>
            <w:tcBorders/>
            <w:tcMar>
              <w:bottom w:w="0" w:type="dxa"/>
            </w:tcMar>
            <w:vAlign w:val="center"/>
          </w:tcPr>
          <w:p>
            <w:pPr>
              <w:pStyle w:val="TableContents"/>
              <w:bidi w:val="0"/>
              <w:spacing w:lineRule="auto" w:line="276" w:before="0" w:after="283"/>
              <w:jc w:val="left"/>
              <w:rPr/>
            </w:pPr>
            <w:r>
              <w:rPr/>
              <w:t> </w:t>
            </w:r>
          </w:p>
        </w:tc>
        <w:tc>
          <w:tcPr>
            <w:tcW w:w="2780" w:type="dxa"/>
            <w:tcBorders/>
            <w:tcMar>
              <w:bottom w:w="0" w:type="dxa"/>
            </w:tcMar>
            <w:vAlign w:val="center"/>
          </w:tcPr>
          <w:p>
            <w:pPr>
              <w:pStyle w:val="TableContents"/>
              <w:bidi w:val="0"/>
              <w:spacing w:lineRule="auto" w:line="276" w:before="0" w:after="283"/>
              <w:jc w:val="center"/>
              <w:rPr/>
            </w:pPr>
            <w:r>
              <w:rPr/>
              <w:t> </w:t>
            </w:r>
          </w:p>
        </w:tc>
      </w:tr>
    </w:tbl>
    <w:p>
      <w:pPr>
        <w:pStyle w:val="TextBody"/>
        <w:bidi w:val="0"/>
        <w:jc w:val="left"/>
        <w:rPr>
          <w:caps w:val="false"/>
          <w:smallCaps w:val="false"/>
        </w:rPr>
      </w:pPr>
      <w:r>
        <w:rPr>
          <w:caps w:val="false"/>
          <w:smallCaps w:val="false"/>
        </w:rPr>
        <w:t> </w:t>
      </w:r>
    </w:p>
    <w:tbl>
      <w:tblPr>
        <w:tblW w:w="5455" w:type="dxa"/>
        <w:jc w:val="left"/>
        <w:tblInd w:w="0" w:type="dxa"/>
        <w:tblLayout w:type="fixed"/>
        <w:tblCellMar>
          <w:top w:w="0" w:type="dxa"/>
          <w:left w:w="0" w:type="dxa"/>
          <w:bottom w:w="28" w:type="dxa"/>
          <w:right w:w="0" w:type="dxa"/>
        </w:tblCellMar>
      </w:tblPr>
      <w:tblGrid>
        <w:gridCol w:w="4475"/>
        <w:gridCol w:w="60"/>
        <w:gridCol w:w="920"/>
      </w:tblGrid>
      <w:tr>
        <w:trPr/>
        <w:tc>
          <w:tcPr>
            <w:tcW w:w="4475" w:type="dxa"/>
            <w:tcBorders>
              <w:bottom w:val="single" w:sz="8" w:space="0" w:color="000000"/>
            </w:tcBorders>
            <w:vAlign w:val="center"/>
          </w:tcPr>
          <w:p>
            <w:pPr>
              <w:pStyle w:val="TableContents"/>
              <w:bidi w:val="0"/>
              <w:spacing w:lineRule="auto" w:line="276" w:before="0" w:after="283"/>
              <w:jc w:val="center"/>
              <w:rPr>
                <w:b/>
                <w:sz w:val="20"/>
              </w:rPr>
            </w:pPr>
            <w:bookmarkStart w:id="8" w:name="xdx_909_edei--EntityAddressAddressLine1_"/>
            <w:bookmarkEnd w:id="8"/>
            <w:r>
              <w:rPr>
                <w:b/>
                <w:sz w:val="20"/>
              </w:rPr>
              <w:t xml:space="preserve">4670 Willow Road, </w:t>
            </w:r>
            <w:bookmarkStart w:id="9" w:name="xdx_90A_edei--EntityAddressAddressLine2_"/>
            <w:bookmarkEnd w:id="9"/>
            <w:r>
              <w:rPr>
                <w:b/>
                <w:sz w:val="20"/>
              </w:rPr>
              <w:t xml:space="preserve">Suite 125, </w:t>
            </w:r>
            <w:bookmarkStart w:id="10" w:name="xdx_90D_edei--EntityAddressCityOrTown_c2"/>
            <w:bookmarkEnd w:id="10"/>
            <w:r>
              <w:rPr>
                <w:b/>
                <w:sz w:val="20"/>
              </w:rPr>
              <w:t xml:space="preserve">Pleasanton, </w:t>
            </w:r>
            <w:bookmarkStart w:id="11" w:name="xdx_90B_edei--EntityAddressStateOrProvin"/>
            <w:bookmarkEnd w:id="11"/>
            <w:r>
              <w:rPr>
                <w:b/>
                <w:sz w:val="20"/>
              </w:rPr>
              <w:t>California</w:t>
            </w:r>
          </w:p>
        </w:tc>
        <w:tc>
          <w:tcPr>
            <w:tcW w:w="60" w:type="dxa"/>
            <w:tcBorders/>
            <w:tcMar>
              <w:bottom w:w="0" w:type="dxa"/>
            </w:tcMar>
            <w:vAlign w:val="center"/>
          </w:tcPr>
          <w:p>
            <w:pPr>
              <w:pStyle w:val="TableContents"/>
              <w:bidi w:val="0"/>
              <w:spacing w:lineRule="auto" w:line="276" w:before="0" w:after="283"/>
              <w:jc w:val="left"/>
              <w:rPr/>
            </w:pPr>
            <w:r>
              <w:rPr/>
              <w:t> </w:t>
            </w:r>
          </w:p>
        </w:tc>
        <w:tc>
          <w:tcPr>
            <w:tcW w:w="920" w:type="dxa"/>
            <w:tcBorders>
              <w:bottom w:val="single" w:sz="8" w:space="0" w:color="000000"/>
            </w:tcBorders>
            <w:vAlign w:val="center"/>
          </w:tcPr>
          <w:p>
            <w:pPr>
              <w:pStyle w:val="TableContents"/>
              <w:bidi w:val="0"/>
              <w:spacing w:lineRule="auto" w:line="276" w:before="0" w:after="283"/>
              <w:jc w:val="center"/>
              <w:rPr>
                <w:b/>
                <w:sz w:val="20"/>
              </w:rPr>
            </w:pPr>
            <w:bookmarkStart w:id="12" w:name="xdx_90A_edei--EntityAddressPostalZipCode"/>
            <w:bookmarkEnd w:id="12"/>
            <w:r>
              <w:rPr>
                <w:b/>
                <w:sz w:val="20"/>
              </w:rPr>
              <w:t>94588</w:t>
            </w:r>
          </w:p>
        </w:tc>
      </w:tr>
      <w:tr>
        <w:trPr/>
        <w:tc>
          <w:tcPr>
            <w:tcW w:w="4475" w:type="dxa"/>
            <w:tcBorders/>
            <w:tcMar>
              <w:bottom w:w="0" w:type="dxa"/>
            </w:tcMar>
            <w:vAlign w:val="center"/>
          </w:tcPr>
          <w:p>
            <w:pPr>
              <w:pStyle w:val="TableContents"/>
              <w:bidi w:val="0"/>
              <w:spacing w:lineRule="auto" w:line="276"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lineRule="auto" w:line="276" w:before="0" w:after="283"/>
              <w:jc w:val="left"/>
              <w:rPr/>
            </w:pPr>
            <w:r>
              <w:rPr/>
              <w:t> </w:t>
            </w:r>
          </w:p>
        </w:tc>
        <w:tc>
          <w:tcPr>
            <w:tcW w:w="920" w:type="dxa"/>
            <w:tcBorders/>
            <w:tcMar>
              <w:bottom w:w="0" w:type="dxa"/>
            </w:tcMar>
            <w:vAlign w:val="center"/>
          </w:tcPr>
          <w:p>
            <w:pPr>
              <w:pStyle w:val="TableContents"/>
              <w:bidi w:val="0"/>
              <w:spacing w:lineRule="auto" w:line="276" w:before="0" w:after="283"/>
              <w:jc w:val="center"/>
              <w:rPr>
                <w:sz w:val="20"/>
              </w:rPr>
            </w:pPr>
            <w:r>
              <w:rPr>
                <w:sz w:val="20"/>
              </w:rPr>
              <w:t>(Zip Code)</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D_edei--CityAreaCode_c20250731__20"/>
      <w:bookmarkEnd w:id="13"/>
      <w:r>
        <w:rPr>
          <w:rFonts w:ascii="Times New Roman;Times;Serif" w:hAnsi="Times New Roman;Times;Serif"/>
          <w:b/>
          <w:i w:val="false"/>
          <w:caps w:val="false"/>
          <w:smallCaps w:val="false"/>
          <w:sz w:val="20"/>
        </w:rPr>
        <w:t xml:space="preserve">(925) </w:t>
      </w:r>
      <w:bookmarkStart w:id="14" w:name="xdx_90D_edei--LocalPhoneNumber_c20250731"/>
      <w:bookmarkEnd w:id="14"/>
      <w:r>
        <w:rPr>
          <w:rFonts w:ascii="Times New Roman;Times;Serif" w:hAnsi="Times New Roman;Times;Serif"/>
          <w:b/>
          <w:i w:val="false"/>
          <w:caps w:val="false"/>
          <w:smallCaps w:val="false"/>
          <w:sz w:val="20"/>
        </w:rPr>
        <w:t>400-4366</w:t>
      </w:r>
    </w:p>
    <w:p>
      <w:pPr>
        <w:pStyle w:val="TextBody"/>
        <w:bidi w:val="0"/>
        <w:jc w:val="center"/>
        <w:rPr>
          <w:caps w:val="false"/>
          <w:smallCaps w:val="false"/>
        </w:rPr>
      </w:pPr>
      <w:r>
        <w:rPr>
          <w:caps w:val="false"/>
          <w:smallCaps w:val="false"/>
        </w:rPr>
        <w:t> </w:t>
      </w:r>
    </w:p>
    <w:tbl>
      <w:tblPr>
        <w:tblW w:w="5300" w:type="dxa"/>
        <w:jc w:val="left"/>
        <w:tblInd w:w="0" w:type="dxa"/>
        <w:tblLayout w:type="fixed"/>
        <w:tblCellMar>
          <w:top w:w="0" w:type="dxa"/>
          <w:left w:w="0" w:type="dxa"/>
          <w:bottom w:w="28" w:type="dxa"/>
          <w:right w:w="0" w:type="dxa"/>
        </w:tblCellMar>
      </w:tblPr>
      <w:tblGrid>
        <w:gridCol w:w="5225"/>
        <w:gridCol w:w="75"/>
      </w:tblGrid>
      <w:tr>
        <w:trPr/>
        <w:tc>
          <w:tcPr>
            <w:tcW w:w="522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lineRule="auto" w:line="276" w:before="0" w:after="283"/>
              <w:jc w:val="left"/>
              <w:rPr/>
            </w:pPr>
            <w:r>
              <w:rPr/>
              <w:t> </w:t>
            </w:r>
          </w:p>
        </w:tc>
      </w:tr>
      <w:tr>
        <w:trPr/>
        <w:tc>
          <w:tcPr>
            <w:tcW w:w="5225" w:type="dxa"/>
            <w:tcBorders/>
            <w:tcMar>
              <w:bottom w:w="0" w:type="dxa"/>
            </w:tcMar>
            <w:vAlign w:val="center"/>
          </w:tcPr>
          <w:p>
            <w:pPr>
              <w:pStyle w:val="TableContents"/>
              <w:bidi w:val="0"/>
              <w:spacing w:lineRule="auto" w:line="276" w:before="0" w:after="283"/>
              <w:jc w:val="center"/>
              <w:rPr>
                <w:sz w:val="20"/>
              </w:rPr>
            </w:pPr>
            <w:r>
              <w:rPr>
                <w:sz w:val="20"/>
              </w:rPr>
              <w:t>(Former Name or Former Address, if Changed Since Last Report)</w:t>
            </w:r>
          </w:p>
        </w:tc>
        <w:tc>
          <w:tcPr>
            <w:tcW w:w="75" w:type="dxa"/>
            <w:tcBorders/>
            <w:tcMar>
              <w:bottom w:w="0" w:type="dxa"/>
            </w:tcMar>
            <w:vAlign w:val="center"/>
          </w:tcPr>
          <w:p>
            <w:pPr>
              <w:pStyle w:val="TableContents"/>
              <w:bidi w:val="0"/>
              <w:spacing w:lineRule="auto" w:line="276"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obligations of the registrant under any of the following provisions:</w:t>
      </w:r>
    </w:p>
    <w:p>
      <w:pPr>
        <w:pStyle w:val="TextBody"/>
        <w:bidi w:val="0"/>
        <w:jc w:val="left"/>
        <w:rPr>
          <w:caps w:val="false"/>
          <w:smallCaps w:val="false"/>
        </w:rPr>
      </w:pPr>
      <w:r>
        <w:rPr>
          <w:caps w:val="false"/>
          <w:smallCaps w:val="false"/>
        </w:rPr>
        <w:t> </w:t>
      </w:r>
    </w:p>
    <w:p>
      <w:pPr>
        <w:pStyle w:val="TextBody"/>
        <w:bidi w:val="0"/>
        <w:ind w:left="0" w:right="0" w:firstLine="6"/>
        <w:jc w:val="left"/>
        <w:rPr>
          <w:caps w:val="false"/>
          <w:smallCaps w:val="false"/>
        </w:rPr>
      </w:pPr>
      <w:bookmarkStart w:id="15" w:name="xdx_904_edei--WrittenCommunications_c202"/>
      <w:bookmarkEnd w:id="15"/>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ind w:left="0" w:right="0" w:firstLine="6"/>
        <w:jc w:val="left"/>
        <w:rPr>
          <w:caps w:val="false"/>
          <w:smallCaps w:val="false"/>
        </w:rPr>
      </w:pPr>
      <w:bookmarkStart w:id="16" w:name="xdx_90F_edei--SolicitingMaterial_c202507"/>
      <w:bookmarkEnd w:id="16"/>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 </w:t>
      </w:r>
    </w:p>
    <w:p>
      <w:pPr>
        <w:pStyle w:val="TextBody"/>
        <w:bidi w:val="0"/>
        <w:ind w:left="0" w:right="0" w:firstLine="6"/>
        <w:jc w:val="left"/>
        <w:rPr>
          <w:caps w:val="false"/>
          <w:smallCaps w:val="false"/>
        </w:rPr>
      </w:pPr>
      <w:bookmarkStart w:id="17" w:name="xdx_900_edei--PreCommencementTenderOffer"/>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ind w:left="0" w:right="0" w:firstLine="6"/>
        <w:jc w:val="left"/>
        <w:rPr>
          <w:caps w:val="false"/>
          <w:smallCaps w:val="false"/>
        </w:rPr>
      </w:pPr>
      <w:bookmarkStart w:id="18" w:name="xdx_90B_edei--PreCommencementIssuerTende"/>
      <w:bookmarkEnd w:id="18"/>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tbl>
      <w:tblPr>
        <w:tblW w:w="9240" w:type="dxa"/>
        <w:jc w:val="left"/>
        <w:tblInd w:w="-10" w:type="dxa"/>
        <w:tblLayout w:type="fixed"/>
        <w:tblCellMar>
          <w:top w:w="30" w:type="dxa"/>
          <w:left w:w="30" w:type="dxa"/>
          <w:bottom w:w="30" w:type="dxa"/>
          <w:right w:w="30" w:type="dxa"/>
        </w:tblCellMar>
      </w:tblPr>
      <w:tblGrid>
        <w:gridCol w:w="3920"/>
        <w:gridCol w:w="1610"/>
        <w:gridCol w:w="3710"/>
      </w:tblGrid>
      <w:tr>
        <w:trPr/>
        <w:tc>
          <w:tcPr>
            <w:tcW w:w="39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Title of each class</w:t>
            </w:r>
          </w:p>
        </w:tc>
        <w:tc>
          <w:tcPr>
            <w:tcW w:w="1610" w:type="dxa"/>
            <w:tcBorders>
              <w:top w:val="single" w:sz="8" w:space="0" w:color="000000"/>
              <w:bottom w:val="single" w:sz="8" w:space="0" w:color="000000"/>
              <w:right w:val="single" w:sz="8" w:space="0" w:color="000000"/>
            </w:tcBorders>
            <w:tcMar>
              <w:top w:w="28" w:type="dxa"/>
              <w:left w:w="0" w:type="dxa"/>
              <w:bottom w:w="28" w:type="dxa"/>
              <w:right w:w="28" w:type="dxa"/>
            </w:tcMar>
            <w:vAlign w:val="center"/>
          </w:tcPr>
          <w:p>
            <w:pPr>
              <w:pStyle w:val="TableContents"/>
              <w:bidi w:val="0"/>
              <w:spacing w:before="0" w:after="283"/>
              <w:jc w:val="center"/>
              <w:rPr>
                <w:b/>
                <w:sz w:val="20"/>
              </w:rPr>
            </w:pPr>
            <w:r>
              <w:rPr>
                <w:b/>
                <w:sz w:val="20"/>
              </w:rPr>
              <w:t>Trading Symbol(s)</w:t>
            </w:r>
          </w:p>
        </w:tc>
        <w:tc>
          <w:tcPr>
            <w:tcW w:w="3710" w:type="dxa"/>
            <w:tcBorders>
              <w:top w:val="single" w:sz="8" w:space="0" w:color="000000"/>
              <w:bottom w:val="single" w:sz="8" w:space="0" w:color="000000"/>
              <w:right w:val="single" w:sz="8" w:space="0" w:color="000000"/>
            </w:tcBorders>
            <w:tcMar>
              <w:top w:w="28" w:type="dxa"/>
              <w:left w:w="0" w:type="dxa"/>
              <w:bottom w:w="28" w:type="dxa"/>
              <w:right w:w="28" w:type="dxa"/>
            </w:tcMar>
            <w:vAlign w:val="center"/>
          </w:tcPr>
          <w:p>
            <w:pPr>
              <w:pStyle w:val="TableContents"/>
              <w:bidi w:val="0"/>
              <w:spacing w:before="0" w:after="283"/>
              <w:jc w:val="center"/>
              <w:rPr>
                <w:b/>
                <w:sz w:val="20"/>
              </w:rPr>
            </w:pPr>
            <w:r>
              <w:rPr>
                <w:b/>
                <w:sz w:val="20"/>
              </w:rPr>
              <w:t>Name of each exchange on which registered</w:t>
            </w:r>
          </w:p>
        </w:tc>
      </w:tr>
      <w:tr>
        <w:trPr/>
        <w:tc>
          <w:tcPr>
            <w:tcW w:w="39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bookmarkStart w:id="19" w:name="xdx_90B_edei--Security12bTitle_c20250731"/>
            <w:bookmarkEnd w:id="19"/>
            <w:r>
              <w:rPr>
                <w:sz w:val="20"/>
              </w:rPr>
              <w:t>Common Stock, par value $0.0001 per share</w:t>
            </w:r>
          </w:p>
        </w:tc>
        <w:tc>
          <w:tcPr>
            <w:tcW w:w="1610"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center"/>
              <w:rPr>
                <w:sz w:val="20"/>
              </w:rPr>
            </w:pPr>
            <w:bookmarkStart w:id="20" w:name="xdx_904_edei--TradingSymbol_c20250731__2"/>
            <w:bookmarkEnd w:id="20"/>
            <w:r>
              <w:rPr>
                <w:sz w:val="20"/>
              </w:rPr>
              <w:t>LIDR</w:t>
            </w:r>
          </w:p>
        </w:tc>
        <w:tc>
          <w:tcPr>
            <w:tcW w:w="3710"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center"/>
              <w:rPr>
                <w:sz w:val="20"/>
              </w:rPr>
            </w:pPr>
            <w:bookmarkStart w:id="21" w:name="xdx_904_edei--SecurityExchangeName_c2025"/>
            <w:bookmarkEnd w:id="21"/>
            <w:r>
              <w:rPr>
                <w:sz w:val="20"/>
              </w:rPr>
              <w:t>The Nasdaq Stock Market LLC</w:t>
            </w:r>
          </w:p>
        </w:tc>
      </w:tr>
      <w:tr>
        <w:trPr/>
        <w:tc>
          <w:tcPr>
            <w:tcW w:w="39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bookmarkStart w:id="22" w:name="xdx_906_edei--Security12bTitle_c20250731"/>
            <w:bookmarkEnd w:id="22"/>
            <w:r>
              <w:rPr>
                <w:sz w:val="20"/>
              </w:rPr>
              <w:t>Warrants to receive one share of Common Stock</w:t>
            </w:r>
          </w:p>
        </w:tc>
        <w:tc>
          <w:tcPr>
            <w:tcW w:w="1610"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center"/>
              <w:rPr>
                <w:sz w:val="20"/>
              </w:rPr>
            </w:pPr>
            <w:bookmarkStart w:id="23" w:name="xdx_904_edei--TradingSymbol_c20250731__2"/>
            <w:bookmarkEnd w:id="23"/>
            <w:r>
              <w:rPr>
                <w:sz w:val="20"/>
              </w:rPr>
              <w:t>LIDRW</w:t>
            </w:r>
          </w:p>
        </w:tc>
        <w:tc>
          <w:tcPr>
            <w:tcW w:w="3710"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center"/>
              <w:rPr>
                <w:sz w:val="20"/>
              </w:rPr>
            </w:pPr>
            <w:bookmarkStart w:id="24" w:name="xdx_907_edei--SecurityExchangeName_c2025"/>
            <w:bookmarkEnd w:id="24"/>
            <w:r>
              <w:rPr>
                <w:sz w:val="20"/>
              </w:rPr>
              <w:t>The Nasdaq Stock Market LLC</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E_edei--EntityEmergingGrowthCompan"/>
      <w:bookmarkEnd w:id="25"/>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2_edei--EntityExTransitionPeriod_c"/>
      <w:bookmarkEnd w:id="26"/>
      <w:r>
        <w:rPr>
          <w:rFonts w:ascii="Times New Roman;Times;Serif" w:hAnsi="Times New Roman;Times;Serif"/>
          <w:b w:val="false"/>
          <w:i w:val="false"/>
          <w:caps w:val="false"/>
          <w:smallCaps w:val="false"/>
          <w:sz w:val="20"/>
        </w:rPr>
        <w:t>☐</w:t>
      </w:r>
    </w:p>
    <w:p>
      <w:pPr>
        <w:pStyle w:val="TextBody"/>
        <w:bidi w:val="0"/>
        <w:spacing w:before="60" w:after="24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5808" w:type="dxa"/>
        <w:jc w:val="left"/>
        <w:tblInd w:w="0" w:type="dxa"/>
        <w:tblLayout w:type="fixed"/>
        <w:tblCellMar>
          <w:top w:w="0" w:type="dxa"/>
          <w:left w:w="0" w:type="dxa"/>
          <w:bottom w:w="0" w:type="dxa"/>
          <w:right w:w="0" w:type="dxa"/>
        </w:tblCellMar>
      </w:tblPr>
      <w:tblGrid>
        <w:gridCol w:w="38"/>
        <w:gridCol w:w="965"/>
        <w:gridCol w:w="480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2.02</w:t>
            </w:r>
          </w:p>
        </w:tc>
        <w:tc>
          <w:tcPr>
            <w:tcW w:w="4805" w:type="dxa"/>
            <w:tcBorders/>
            <w:vAlign w:val="center"/>
          </w:tcPr>
          <w:p>
            <w:pPr>
              <w:pStyle w:val="TableContents"/>
              <w:bidi w:val="0"/>
              <w:spacing w:before="0" w:after="283"/>
              <w:jc w:val="both"/>
              <w:rPr>
                <w:b/>
              </w:rPr>
            </w:pPr>
            <w:r>
              <w:rPr>
                <w:b/>
              </w:rPr>
              <w:t>Results of Operations and Financial Condition.</w:t>
            </w:r>
          </w:p>
        </w:tc>
      </w:tr>
    </w:tbl>
    <w:p>
      <w:pPr>
        <w:pStyle w:val="TextBody"/>
        <w:bidi w:val="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2025, AEye, Inc. (the “Company”) issued a press release announcing its financial results for the quarter ended June 30, 2025. A copy of the press release is furnished as Exhibit 99.1 to this Current Report on Form 8-K.</w:t>
      </w:r>
    </w:p>
    <w:p>
      <w:pPr>
        <w:pStyle w:val="TextBody"/>
        <w:bidi w:val="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in Item 2.02 of this Current Report on Form 8-K (including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pStyle w:val="TextBody"/>
        <w:bidi w:val="0"/>
        <w:ind w:left="0" w:right="0" w:hanging="0"/>
        <w:jc w:val="left"/>
        <w:rPr>
          <w:caps w:val="false"/>
          <w:smallCaps w:val="false"/>
        </w:rPr>
      </w:pPr>
      <w:r>
        <w:rPr>
          <w:caps w:val="false"/>
          <w:smallCaps w:val="false"/>
        </w:rPr>
        <w:t> </w:t>
      </w:r>
    </w:p>
    <w:tbl>
      <w:tblPr>
        <w:tblW w:w="4533" w:type="dxa"/>
        <w:jc w:val="left"/>
        <w:tblInd w:w="0" w:type="dxa"/>
        <w:tblLayout w:type="fixed"/>
        <w:tblCellMar>
          <w:top w:w="0" w:type="dxa"/>
          <w:left w:w="0" w:type="dxa"/>
          <w:bottom w:w="0" w:type="dxa"/>
          <w:right w:w="0" w:type="dxa"/>
        </w:tblCellMar>
      </w:tblPr>
      <w:tblGrid>
        <w:gridCol w:w="38"/>
        <w:gridCol w:w="1025"/>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9.01.</w:t>
            </w:r>
          </w:p>
        </w:tc>
        <w:tc>
          <w:tcPr>
            <w:tcW w:w="3470" w:type="dxa"/>
            <w:tcBorders/>
            <w:vAlign w:val="center"/>
          </w:tcPr>
          <w:p>
            <w:pPr>
              <w:pStyle w:val="TableContents"/>
              <w:bidi w:val="0"/>
              <w:spacing w:before="0" w:after="283"/>
              <w:jc w:val="both"/>
              <w:rPr>
                <w:b/>
              </w:rPr>
            </w:pPr>
            <w:r>
              <w:rPr>
                <w:b/>
              </w:rPr>
              <w:t>Financial Statement and Exhibits.</w:t>
            </w:r>
          </w:p>
        </w:tc>
      </w:tr>
    </w:tbl>
    <w:p>
      <w:pPr>
        <w:pStyle w:val="TextBody"/>
        <w:bidi w:val="0"/>
        <w:ind w:left="0" w:right="0" w:hanging="0"/>
        <w:jc w:val="both"/>
        <w:rPr>
          <w:caps w:val="false"/>
          <w:smallCaps w:val="false"/>
        </w:rPr>
      </w:pPr>
      <w:r>
        <w:rPr>
          <w:caps w:val="false"/>
          <w:smallCaps w:val="false"/>
        </w:rPr>
        <w:t> </w:t>
      </w:r>
    </w:p>
    <w:tbl>
      <w:tblPr>
        <w:tblW w:w="1090" w:type="dxa"/>
        <w:jc w:val="left"/>
        <w:tblInd w:w="0" w:type="dxa"/>
        <w:tblLayout w:type="fixed"/>
        <w:tblCellMar>
          <w:top w:w="0" w:type="dxa"/>
          <w:left w:w="0" w:type="dxa"/>
          <w:bottom w:w="0" w:type="dxa"/>
          <w:right w:w="0" w:type="dxa"/>
        </w:tblCellMar>
      </w:tblPr>
      <w:tblGrid>
        <w:gridCol w:w="75"/>
        <w:gridCol w:w="245"/>
        <w:gridCol w:w="77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7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Exhibits.</w:t>
            </w:r>
          </w:p>
        </w:tc>
      </w:tr>
    </w:tbl>
    <w:p>
      <w:pPr>
        <w:pStyle w:val="TextBody"/>
        <w:bidi w:val="0"/>
        <w:ind w:left="0" w:right="0" w:hanging="0"/>
        <w:jc w:val="both"/>
        <w:rPr>
          <w:caps w:val="false"/>
          <w:smallCaps w:val="false"/>
        </w:rPr>
      </w:pPr>
      <w:r>
        <w:rPr>
          <w:caps w:val="false"/>
          <w:smallCaps w:val="false"/>
        </w:rPr>
        <w:t> </w:t>
      </w:r>
    </w:p>
    <w:tbl>
      <w:tblPr>
        <w:tblW w:w="2718" w:type="dxa"/>
        <w:jc w:val="left"/>
        <w:tblInd w:w="0" w:type="dxa"/>
        <w:tblLayout w:type="fixed"/>
        <w:tblCellMar>
          <w:top w:w="0" w:type="dxa"/>
          <w:left w:w="0" w:type="dxa"/>
          <w:bottom w:w="0" w:type="dxa"/>
          <w:right w:w="0" w:type="dxa"/>
        </w:tblCellMar>
      </w:tblPr>
      <w:tblGrid>
        <w:gridCol w:w="38"/>
        <w:gridCol w:w="1550"/>
        <w:gridCol w:w="1130"/>
      </w:tblGrid>
      <w:tr>
        <w:trPr/>
        <w:tc>
          <w:tcPr>
            <w:tcW w:w="38"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u w:val="single"/>
              </w:rPr>
            </w:pPr>
            <w:r>
              <w:rPr>
                <w:u w:val="single"/>
              </w:rPr>
              <w:t>Exhibit Number</w:t>
            </w:r>
          </w:p>
        </w:tc>
        <w:tc>
          <w:tcPr>
            <w:tcW w:w="1130" w:type="dxa"/>
            <w:tcBorders/>
            <w:vAlign w:val="center"/>
          </w:tcPr>
          <w:p>
            <w:pPr>
              <w:pStyle w:val="TableContents"/>
              <w:bidi w:val="0"/>
              <w:spacing w:before="0" w:after="283"/>
              <w:jc w:val="left"/>
              <w:rPr>
                <w:u w:val="single"/>
              </w:rPr>
            </w:pPr>
            <w:r>
              <w:rPr>
                <w:u w:val="single"/>
              </w:rPr>
              <w:t>Description</w:t>
            </w:r>
          </w:p>
        </w:tc>
      </w:tr>
    </w:tbl>
    <w:p>
      <w:pPr>
        <w:pStyle w:val="TextBody"/>
        <w:bidi w:val="0"/>
        <w:ind w:left="0" w:right="0" w:hanging="0"/>
        <w:jc w:val="both"/>
        <w:rPr>
          <w:caps w:val="false"/>
          <w:smallCaps w:val="false"/>
        </w:rPr>
      </w:pPr>
      <w:r>
        <w:rPr>
          <w:caps w:val="false"/>
          <w:smallCaps w:val="false"/>
        </w:rPr>
        <w:t> </w:t>
      </w:r>
    </w:p>
    <w:tbl>
      <w:tblPr>
        <w:tblW w:w="3693" w:type="dxa"/>
        <w:jc w:val="left"/>
        <w:tblInd w:w="0" w:type="dxa"/>
        <w:tblLayout w:type="fixed"/>
        <w:tblCellMar>
          <w:top w:w="0" w:type="dxa"/>
          <w:left w:w="0" w:type="dxa"/>
          <w:bottom w:w="0" w:type="dxa"/>
          <w:right w:w="0" w:type="dxa"/>
        </w:tblCellMar>
      </w:tblPr>
      <w:tblGrid>
        <w:gridCol w:w="38"/>
        <w:gridCol w:w="440"/>
        <w:gridCol w:w="321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99.1</w:t>
            </w:r>
          </w:p>
        </w:tc>
        <w:tc>
          <w:tcPr>
            <w:tcW w:w="3215" w:type="dxa"/>
            <w:tcBorders/>
            <w:vAlign w:val="center"/>
          </w:tcPr>
          <w:p>
            <w:pPr>
              <w:pStyle w:val="TableContents"/>
              <w:bidi w:val="0"/>
              <w:spacing w:before="0" w:after="283"/>
              <w:jc w:val="left"/>
              <w:rPr/>
            </w:pPr>
            <w:hyperlink w:anchor="ss5150732_ex9901.htm">
              <w:r>
                <w:rPr>
                  <w:rStyle w:val="InternetLink"/>
                </w:rPr>
                <w:t>Press release dated July 31, 2025.</w:t>
              </w:r>
            </w:hyperlink>
          </w:p>
        </w:tc>
      </w:tr>
    </w:tbl>
    <w:p>
      <w:pPr>
        <w:pStyle w:val="TextBody"/>
        <w:bidi w:val="0"/>
        <w:ind w:left="0" w:right="0" w:hanging="0"/>
        <w:jc w:val="left"/>
        <w:rPr>
          <w:caps w:val="false"/>
          <w:smallCaps w:val="false"/>
        </w:rPr>
      </w:pPr>
      <w:r>
        <w:rPr>
          <w:caps w:val="false"/>
          <w:smallCaps w:val="false"/>
        </w:rPr>
        <w:t> </w:t>
      </w:r>
    </w:p>
    <w:tbl>
      <w:tblPr>
        <w:tblW w:w="9078" w:type="dxa"/>
        <w:jc w:val="left"/>
        <w:tblInd w:w="0" w:type="dxa"/>
        <w:tblLayout w:type="fixed"/>
        <w:tblCellMar>
          <w:top w:w="0" w:type="dxa"/>
          <w:left w:w="0" w:type="dxa"/>
          <w:bottom w:w="0" w:type="dxa"/>
          <w:right w:w="0" w:type="dxa"/>
        </w:tblCellMar>
      </w:tblPr>
      <w:tblGrid>
        <w:gridCol w:w="38"/>
        <w:gridCol w:w="380"/>
        <w:gridCol w:w="866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104</w:t>
            </w:r>
          </w:p>
        </w:tc>
        <w:tc>
          <w:tcPr>
            <w:tcW w:w="8660" w:type="dxa"/>
            <w:tcBorders/>
            <w:vAlign w:val="center"/>
          </w:tcPr>
          <w:p>
            <w:pPr>
              <w:pStyle w:val="TableContents"/>
              <w:bidi w:val="0"/>
              <w:spacing w:before="0" w:after="283"/>
              <w:jc w:val="left"/>
              <w:rPr/>
            </w:pPr>
            <w:r>
              <w:rPr/>
              <w:t>Cover Page Interactive Data File (formatted as Inline XBRL and contained in Exhibit 101).</w:t>
            </w:r>
          </w:p>
        </w:tc>
      </w:tr>
    </w:tbl>
    <w:p>
      <w:pPr>
        <w:pStyle w:val="TextBody"/>
        <w:bidi w:val="0"/>
        <w:spacing w:before="0" w:after="240"/>
        <w:jc w:val="both"/>
        <w:rPr>
          <w:caps w:val="false"/>
          <w:smallCaps w:val="false"/>
        </w:rPr>
      </w:pPr>
      <w:r>
        <w:rPr>
          <w:caps w:val="false"/>
          <w:smallCaps w:val="false"/>
        </w:rPr>
        <w:t> </w:t>
      </w:r>
    </w:p>
    <w:p>
      <w:pPr>
        <w:pStyle w:val="TextBody"/>
        <w:bidi w:val="0"/>
        <w:spacing w:before="0" w:after="240"/>
        <w:jc w:val="both"/>
        <w:rPr>
          <w:caps w:val="false"/>
          <w:smallCaps w:val="false"/>
        </w:rPr>
      </w:pPr>
      <w:r>
        <w:rPr>
          <w:caps w:val="false"/>
          <w:smallCaps w:val="false"/>
        </w:rPr>
        <w:t> </w:t>
      </w:r>
    </w:p>
    <w:p>
      <w:pPr>
        <w:pStyle w:val="TextBody"/>
        <w:bidi w:val="0"/>
        <w:spacing w:before="0" w:after="240"/>
        <w:jc w:val="both"/>
        <w:rPr>
          <w:caps w:val="false"/>
          <w:smallCaps w:val="false"/>
        </w:rPr>
      </w:pPr>
      <w:r>
        <w:rPr>
          <w:caps w:val="false"/>
          <w:smallCaps w:val="false"/>
        </w:rPr>
        <w:t> </w:t>
      </w:r>
    </w:p>
    <w:p>
      <w:pPr>
        <w:pStyle w:val="TextBody"/>
        <w:bidi w:val="0"/>
        <w:spacing w:before="0" w:after="240"/>
        <w:jc w:val="both"/>
        <w:rPr>
          <w:caps w:val="false"/>
          <w:smallCaps w:val="false"/>
        </w:rPr>
      </w:pPr>
      <w:r>
        <w:rPr>
          <w:caps w:val="false"/>
          <w:smallCaps w:val="false"/>
        </w:rPr>
        <w:t> </w:t>
      </w:r>
    </w:p>
    <w:p>
      <w:pPr>
        <w:pStyle w:val="TextBody"/>
        <w:bidi w:val="0"/>
        <w:spacing w:before="0" w:after="240"/>
        <w:jc w:val="both"/>
        <w:rPr>
          <w:caps w:val="false"/>
          <w:smallCaps w:val="false"/>
        </w:rPr>
      </w:pPr>
      <w:r>
        <w:rPr>
          <w:caps w:val="false"/>
          <w:smallCaps w:val="false"/>
        </w:rPr>
        <w:t> </w:t>
      </w:r>
    </w:p>
    <w:p>
      <w:pPr>
        <w:pStyle w:val="TextBody"/>
        <w:bidi w:val="0"/>
        <w:spacing w:before="0" w:after="240"/>
        <w:jc w:val="both"/>
        <w:rPr>
          <w:caps w:val="false"/>
          <w:smallCaps w:val="false"/>
        </w:rPr>
      </w:pPr>
      <w:r>
        <w:rPr>
          <w:caps w:val="false"/>
          <w:smallCaps w:val="false"/>
        </w:rPr>
        <w:t> </w:t>
      </w:r>
    </w:p>
    <w:p>
      <w:pPr>
        <w:pStyle w:val="TextBody"/>
        <w:bidi w:val="0"/>
        <w:spacing w:before="0" w:after="24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 </w:t>
            </w:r>
            <w:r>
              <w:rPr/>
              <w:t>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jc w:val="both"/>
        <w:rPr>
          <w:caps w:val="false"/>
          <w:smallCaps w:val="false"/>
        </w:rPr>
      </w:pPr>
      <w:r>
        <w:rPr>
          <w:caps w:val="false"/>
          <w:smallCaps w:val="false"/>
        </w:rPr>
        <w:t> </w:t>
      </w:r>
    </w:p>
    <w:p>
      <w:pPr>
        <w:pStyle w:val="TextBody"/>
        <w:bidi w:val="0"/>
        <w:spacing w:lineRule="auto" w:line="276" w:before="0" w:after="2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240"/>
        <w:ind w:left="0" w:right="0" w:firstLine="50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tbl>
      <w:tblPr>
        <w:tblW w:w="7170" w:type="dxa"/>
        <w:jc w:val="left"/>
        <w:tblInd w:w="0" w:type="dxa"/>
        <w:tblLayout w:type="fixed"/>
        <w:tblCellMar>
          <w:top w:w="0" w:type="dxa"/>
          <w:left w:w="0" w:type="dxa"/>
          <w:bottom w:w="0" w:type="dxa"/>
          <w:right w:w="0" w:type="dxa"/>
        </w:tblCellMar>
      </w:tblPr>
      <w:tblGrid>
        <w:gridCol w:w="1730"/>
        <w:gridCol w:w="60"/>
        <w:gridCol w:w="320"/>
        <w:gridCol w:w="5060"/>
      </w:tblGrid>
      <w:tr>
        <w:trPr/>
        <w:tc>
          <w:tcPr>
            <w:tcW w:w="1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80" w:type="dxa"/>
            <w:gridSpan w:val="2"/>
            <w:tcBorders/>
            <w:vAlign w:val="center"/>
          </w:tcPr>
          <w:p>
            <w:pPr>
              <w:pStyle w:val="TableContents"/>
              <w:bidi w:val="0"/>
              <w:spacing w:before="0" w:after="283"/>
              <w:jc w:val="left"/>
              <w:rPr>
                <w:b/>
                <w:sz w:val="20"/>
              </w:rPr>
            </w:pPr>
            <w:r>
              <w:rPr>
                <w:b/>
                <w:sz w:val="20"/>
              </w:rPr>
              <w:t>AEye, Inc.</w:t>
            </w:r>
          </w:p>
        </w:tc>
      </w:tr>
      <w:tr>
        <w:trPr/>
        <w:tc>
          <w:tcPr>
            <w:tcW w:w="1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80" w:type="dxa"/>
            <w:gridSpan w:val="2"/>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sz w:val="20"/>
              </w:rPr>
            </w:pPr>
            <w:r>
              <w:rPr>
                <w:sz w:val="20"/>
              </w:rPr>
              <w:t>Dated: July 31, 2025</w:t>
            </w:r>
          </w:p>
        </w:tc>
        <w:tc>
          <w:tcPr>
            <w:tcW w:w="60" w:type="dxa"/>
            <w:tcBorders/>
            <w:vAlign w:val="center"/>
          </w:tcPr>
          <w:p>
            <w:pPr>
              <w:pStyle w:val="TableContents"/>
              <w:bidi w:val="0"/>
              <w:spacing w:before="0" w:after="283"/>
              <w:jc w:val="left"/>
              <w:rPr/>
            </w:pPr>
            <w:r>
              <w:rPr/>
              <w:t> </w:t>
            </w:r>
          </w:p>
        </w:tc>
        <w:tc>
          <w:tcPr>
            <w:tcW w:w="5380" w:type="dxa"/>
            <w:gridSpan w:val="2"/>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bottom w:val="single" w:sz="8" w:space="0" w:color="000000"/>
            </w:tcBorders>
            <w:tcMar>
              <w:bottom w:w="28" w:type="dxa"/>
            </w:tcMar>
            <w:vAlign w:val="center"/>
          </w:tcPr>
          <w:p>
            <w:pPr>
              <w:pStyle w:val="TableContents"/>
              <w:bidi w:val="0"/>
              <w:spacing w:before="0" w:after="283"/>
              <w:jc w:val="left"/>
              <w:rPr>
                <w:sz w:val="20"/>
              </w:rPr>
            </w:pPr>
            <w:r>
              <w:rPr>
                <w:sz w:val="20"/>
              </w:rPr>
              <w:t>By:</w:t>
            </w:r>
          </w:p>
        </w:tc>
        <w:tc>
          <w:tcPr>
            <w:tcW w:w="506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Andrew S. Hughes</w:t>
            </w:r>
          </w:p>
        </w:tc>
      </w:tr>
      <w:tr>
        <w:trPr/>
        <w:tc>
          <w:tcPr>
            <w:tcW w:w="1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283"/>
              <w:jc w:val="left"/>
              <w:rPr>
                <w:sz w:val="20"/>
                <w:shd w:fill="FFFFFF" w:val="clear"/>
              </w:rPr>
            </w:pPr>
            <w:r>
              <w:rPr>
                <w:sz w:val="20"/>
                <w:shd w:fill="FFFFFF" w:val="clear"/>
              </w:rPr>
              <w:t>Andrew S. Hughes</w:t>
            </w:r>
          </w:p>
        </w:tc>
      </w:tr>
      <w:tr>
        <w:trPr/>
        <w:tc>
          <w:tcPr>
            <w:tcW w:w="1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283"/>
              <w:jc w:val="left"/>
              <w:rPr>
                <w:sz w:val="20"/>
              </w:rPr>
            </w:pPr>
            <w:r>
              <w:rPr>
                <w:sz w:val="20"/>
              </w:rPr>
              <w:t>Senior Vice President, General Counsel &amp; Corporate Secretary</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spacing w:lineRule="auto" w:line="256" w:before="0" w:after="160"/>
        <w:jc w:val="center"/>
        <w:rPr>
          <w:caps w:val="false"/>
          <w:smallCaps w:val="false"/>
        </w:rPr>
      </w:pPr>
      <w:bookmarkStart w:id="27" w:name="ss5150732_ex9901.htm"/>
      <w:bookmarkStart w:id="28" w:name="ksss5150732_ex9901"/>
      <w:bookmarkEnd w:id="27"/>
      <w:bookmarkEnd w:id="28"/>
      <w:r>
        <w:rPr>
          <w:caps w:val="false"/>
          <w:smallCaps w:val="false"/>
        </w:rPr>
        <w:t> </w:t>
      </w:r>
      <w:r>
        <w:br w:type="page"/>
      </w:r>
    </w:p>
    <w:p>
      <w:pPr>
        <w:pStyle w:val="TextBody"/>
        <w:bidi w:val="0"/>
        <w:spacing w:lineRule="auto" w:line="256" w:before="0" w:after="160"/>
        <w:jc w:val="center"/>
        <w:rPr>
          <w:rFonts w:ascii="Calibri;Helvetica;Sans-Serif" w:hAnsi="Calibri;Helvetica;Sans-Serif"/>
          <w:b/>
          <w:i w:val="false"/>
          <w:caps w:val="false"/>
          <w:smallCaps w:val="false"/>
          <w:sz w:val="22"/>
        </w:rPr>
      </w:pPr>
      <w:r>
        <w:rPr>
          <w:rFonts w:ascii="Calibri;Helvetica;Sans-Serif" w:hAnsi="Calibri;Helvetica;Sans-Serif"/>
          <w:b/>
          <w:i w:val="false"/>
          <w:caps w:val="false"/>
          <w:smallCaps w:val="false"/>
          <w:sz w:val="22"/>
        </w:rPr>
        <w:t>AEye Reports Second Quarter 2025 Results</w:t>
      </w:r>
    </w:p>
    <w:p>
      <w:pPr>
        <w:pStyle w:val="TextBody"/>
        <w:bidi w:val="0"/>
        <w:spacing w:lineRule="auto" w:line="256" w:before="0" w:after="160"/>
        <w:jc w:val="center"/>
        <w:rPr>
          <w:rFonts w:ascii="Calibri;Helvetica;Sans-Serif" w:hAnsi="Calibri;Helvetica;Sans-Serif"/>
          <w:b w:val="false"/>
          <w:i/>
          <w:caps w:val="false"/>
          <w:smallCaps w:val="false"/>
          <w:sz w:val="22"/>
        </w:rPr>
      </w:pPr>
      <w:r>
        <w:rPr>
          <w:rFonts w:ascii="Calibri;Helvetica;Sans-Serif" w:hAnsi="Calibri;Helvetica;Sans-Serif"/>
          <w:b w:val="false"/>
          <w:i/>
          <w:caps w:val="false"/>
          <w:smallCaps w:val="false"/>
          <w:sz w:val="22"/>
        </w:rPr>
        <w:t>Accelerating commercial traction:</w:t>
      </w:r>
    </w:p>
    <w:p>
      <w:pPr>
        <w:pStyle w:val="TextBody"/>
        <w:bidi w:val="0"/>
        <w:spacing w:lineRule="auto" w:line="256" w:before="0" w:after="160"/>
        <w:jc w:val="center"/>
        <w:rPr>
          <w:rFonts w:ascii="Calibri;Helvetica;Sans-Serif" w:hAnsi="Calibri;Helvetica;Sans-Serif"/>
          <w:b w:val="false"/>
          <w:i/>
          <w:caps w:val="false"/>
          <w:smallCaps w:val="false"/>
          <w:sz w:val="22"/>
        </w:rPr>
      </w:pPr>
      <w:r>
        <w:rPr>
          <w:rFonts w:ascii="Calibri;Helvetica;Sans-Serif" w:hAnsi="Calibri;Helvetica;Sans-Serif"/>
          <w:b w:val="false"/>
          <w:i/>
          <w:caps w:val="false"/>
          <w:smallCaps w:val="false"/>
          <w:sz w:val="22"/>
        </w:rPr>
        <w:t>Tripled new business wins within diverse, high-growth markets</w:t>
      </w:r>
    </w:p>
    <w:p>
      <w:pPr>
        <w:pStyle w:val="TextBody"/>
        <w:bidi w:val="0"/>
        <w:spacing w:lineRule="auto" w:line="256" w:before="0" w:after="160"/>
        <w:jc w:val="left"/>
        <w:rPr>
          <w:rFonts w:ascii="Calibri;Helvetica;Sans-Serif" w:hAnsi="Calibri;Helvetica;Sans-Serif"/>
          <w:b w:val="false"/>
          <w:i w:val="false"/>
          <w:caps w:val="false"/>
          <w:smallCaps w:val="false"/>
          <w:sz w:val="22"/>
        </w:rPr>
      </w:pPr>
      <w:r>
        <w:rPr>
          <w:rFonts w:ascii="Calibri;Helvetica;Sans-Serif" w:hAnsi="Calibri;Helvetica;Sans-Serif"/>
          <w:b/>
          <w:i w:val="false"/>
          <w:caps w:val="false"/>
          <w:smallCaps w:val="false"/>
          <w:sz w:val="22"/>
        </w:rPr>
        <w:t xml:space="preserve">PLEASANTON, Calif. – (BUSINESS WIRE) – </w:t>
      </w:r>
      <w:r>
        <w:rPr>
          <w:rFonts w:ascii="Calibri;Helvetica;Sans-Serif" w:hAnsi="Calibri;Helvetica;Sans-Serif"/>
          <w:b w:val="false"/>
          <w:i w:val="false"/>
          <w:caps w:val="false"/>
          <w:smallCaps w:val="false"/>
          <w:sz w:val="22"/>
        </w:rPr>
        <w:t>July 31, 2025 – AEye, Inc. (Nasdaq: LIDR), a pioneer in high-performance lidar technology and creator of the Apollo lidar sensor, today announced its results for the second quarter ended June 30, 2025.</w:t>
      </w:r>
    </w:p>
    <w:p>
      <w:pPr>
        <w:pStyle w:val="TextBody"/>
        <w:bidi w:val="0"/>
        <w:spacing w:lineRule="auto" w:line="256" w:before="0" w:after="160"/>
        <w:jc w:val="left"/>
        <w:rPr>
          <w:rFonts w:ascii="Calibri;Helvetica;Sans-Serif" w:hAnsi="Calibri;Helvetica;Sans-Serif"/>
          <w:b/>
          <w:i w:val="false"/>
          <w:caps w:val="false"/>
          <w:smallCaps w:val="false"/>
          <w:sz w:val="22"/>
          <w:u w:val="single"/>
        </w:rPr>
      </w:pPr>
      <w:r>
        <w:rPr>
          <w:rFonts w:ascii="Calibri;Helvetica;Sans-Serif" w:hAnsi="Calibri;Helvetica;Sans-Serif"/>
          <w:b/>
          <w:i w:val="false"/>
          <w:caps w:val="false"/>
          <w:smallCaps w:val="false"/>
          <w:sz w:val="22"/>
          <w:u w:val="single"/>
        </w:rPr>
        <w:t>Recent Business Highlights</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Fully integrated into NVIDIA DRIVE AGX Orin platform, driving expanded engagement opportunities with leading OEMs and paving way for Hyperion integration</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Selected by leading transportation OEM for a potential $30 million revenue opportunity expected to begin generating revenue this year</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Tripled new business wins from 2 to 6, with visibility to additional non-automotive orders potentially totaling thousands of units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Launched OPTIS™, powered by NVIDIA Jetson Orin, and secured multiple deployments in airport safety and security, perimeter monitoring, and transportation logistics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Chosen for GM-sponsored WinTOR initiative, creating the potential for a significant sourcing advantage for future OEM programs</w:t>
            </w:r>
          </w:p>
        </w:tc>
      </w:tr>
    </w:tbl>
    <w:tbl>
      <w:tblPr>
        <w:tblW w:w="5000" w:type="pct"/>
        <w:jc w:val="left"/>
        <w:tblInd w:w="0" w:type="dxa"/>
        <w:tblLayout w:type="fixed"/>
        <w:tblCellMar>
          <w:top w:w="0" w:type="dxa"/>
          <w:left w:w="0" w:type="dxa"/>
          <w:bottom w:w="0" w:type="dxa"/>
          <w:right w:w="0" w:type="dxa"/>
        </w:tblCellMar>
      </w:tblPr>
      <w:tblGrid>
        <w:gridCol w:w="66"/>
        <w:gridCol w:w="218"/>
        <w:gridCol w:w="9921"/>
      </w:tblGrid>
      <w:tr>
        <w:trPr/>
        <w:tc>
          <w:tcPr>
            <w:tcW w:w="6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Symbol" w:hAnsi="Symbol"/>
              </w:rPr>
            </w:pPr>
            <w:r>
              <w:rPr>
                <w:rFonts w:ascii="Symbol" w:hAnsi="Symbol"/>
              </w:rPr>
              <w:t>·</w:t>
            </w:r>
          </w:p>
        </w:tc>
        <w:tc>
          <w:tcPr>
            <w:tcW w:w="9921" w:type="dxa"/>
            <w:tcBorders/>
            <w:vAlign w:val="center"/>
          </w:tcPr>
          <w:p>
            <w:pPr>
              <w:pStyle w:val="TableContents"/>
              <w:bidi w:val="0"/>
              <w:spacing w:before="0" w:after="283"/>
              <w:jc w:val="left"/>
              <w:rPr/>
            </w:pPr>
            <w:r>
              <w:rPr/>
              <w:t>Raised growth capital necessary to execute on strategic plan</w:t>
            </w:r>
          </w:p>
        </w:tc>
      </w:tr>
    </w:tbl>
    <w:p>
      <w:pPr>
        <w:pStyle w:val="TextBody"/>
        <w:bidi w:val="0"/>
        <w:spacing w:lineRule="auto" w:line="256" w:before="0" w:after="160"/>
        <w:jc w:val="left"/>
        <w:rPr>
          <w:caps w:val="false"/>
          <w:smallCaps w:val="false"/>
        </w:rPr>
      </w:pPr>
      <w:r>
        <w:rPr>
          <w:caps w:val="false"/>
          <w:smallCaps w:val="false"/>
        </w:rPr>
        <w:t> </w:t>
      </w:r>
    </w:p>
    <w:p>
      <w:pPr>
        <w:pStyle w:val="TextBody"/>
        <w:bidi w:val="0"/>
        <w:spacing w:lineRule="auto" w:line="256" w:before="0" w:after="160"/>
        <w:jc w:val="left"/>
        <w:rPr>
          <w:rFonts w:ascii="Calibri;Helvetica;Sans-Serif" w:hAnsi="Calibri;Helvetica;Sans-Serif"/>
          <w:b/>
          <w:i w:val="false"/>
          <w:caps w:val="false"/>
          <w:smallCaps w:val="false"/>
          <w:sz w:val="22"/>
          <w:u w:val="single"/>
        </w:rPr>
      </w:pPr>
      <w:r>
        <w:rPr>
          <w:rFonts w:ascii="Calibri;Helvetica;Sans-Serif" w:hAnsi="Calibri;Helvetica;Sans-Serif"/>
          <w:b/>
          <w:i w:val="false"/>
          <w:caps w:val="false"/>
          <w:smallCaps w:val="false"/>
          <w:sz w:val="22"/>
          <w:u w:val="single"/>
        </w:rPr>
        <w:t>Management Commentary</w:t>
      </w:r>
    </w:p>
    <w:p>
      <w:pPr>
        <w:pStyle w:val="TextBody"/>
        <w:bidi w:val="0"/>
        <w:spacing w:lineRule="auto" w:line="256" w:before="0" w:after="160"/>
        <w:jc w:val="left"/>
        <w:rPr>
          <w:rFonts w:ascii="Calibri;Helvetica;Sans-Serif" w:hAnsi="Calibri;Helvetica;Sans-Serif"/>
          <w:b w:val="false"/>
          <w:i w:val="false"/>
          <w:caps w:val="false"/>
          <w:smallCaps w:val="false"/>
          <w:sz w:val="22"/>
        </w:rPr>
      </w:pPr>
      <w:r>
        <w:rPr>
          <w:rFonts w:ascii="Calibri;Helvetica;Sans-Serif" w:hAnsi="Calibri;Helvetica;Sans-Serif"/>
          <w:b w:val="false"/>
          <w:i w:val="false"/>
          <w:caps w:val="false"/>
          <w:smallCaps w:val="false"/>
          <w:sz w:val="22"/>
        </w:rPr>
        <w:t>Matt Fisch, AEye Chief Executive Officer, said, “AEye reached a critical inflection point in the second quarter as we moved beyond the development phase to deliver sustained growth. Our sales funnel has grown exponentially – we’re actively engaged with more than 100 potential customers and have signed six new contracts across a range of market verticals in 2025. Our standout commercial achievement was Apollo’s selection by a leading global transportation OEM, a milestone win representing a potential $30 million opportunity which we expect to begin contributing to revenue this year.”</w:t>
      </w:r>
    </w:p>
    <w:p>
      <w:pPr>
        <w:pStyle w:val="TextBody"/>
        <w:bidi w:val="0"/>
        <w:spacing w:lineRule="auto" w:line="256" w:before="0" w:after="160"/>
        <w:jc w:val="left"/>
        <w:rPr>
          <w:caps w:val="false"/>
          <w:smallCaps w:val="false"/>
        </w:rPr>
      </w:pPr>
      <w:r>
        <w:rPr>
          <w:caps w:val="false"/>
          <w:smallCaps w:val="false"/>
        </w:rPr>
        <w:t>“</w:t>
      </w:r>
      <w:r>
        <w:rPr>
          <w:rFonts w:ascii="Calibri;Helvetica;Sans-Serif" w:hAnsi="Calibri;Helvetica;Sans-Serif"/>
          <w:b w:val="false"/>
          <w:i w:val="false"/>
          <w:caps w:val="false"/>
          <w:smallCaps w:val="false"/>
          <w:sz w:val="22"/>
        </w:rPr>
        <w:t>Apollo is raising the bar for long-range, high-performance lidar. Its certification as part of NVIDIA’s DRIVE AGX Orin platform and selection for the GM-sponsored WinTOR program underscores our leading position in the automotive markets. Further, our launch of OPTIS™ unlocks the opportunity for expansion into high-value applications like intelligent transportation systems, airport safety and security, perimeter security, defense and transportation logistics, where we’ve already secured multiple deployments. As demand accelerates, we believe we’re primed to scale rapidly and deliver long-term value across a wide range of intelligent systems applications.”</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256" w:before="0" w:after="160"/>
        <w:jc w:val="left"/>
        <w:rPr>
          <w:caps w:val="false"/>
          <w:smallCaps w:val="false"/>
        </w:rPr>
      </w:pPr>
      <w:r>
        <w:rPr>
          <w:caps w:val="false"/>
          <w:smallCaps w:val="false"/>
        </w:rPr>
        <w:t> </w:t>
      </w:r>
    </w:p>
    <w:p>
      <w:pPr>
        <w:pStyle w:val="TextBody"/>
        <w:bidi w:val="0"/>
        <w:spacing w:lineRule="auto" w:line="256" w:before="0" w:after="160"/>
        <w:jc w:val="left"/>
        <w:rPr>
          <w:rFonts w:ascii="Calibri;Helvetica;Sans-Serif" w:hAnsi="Calibri;Helvetica;Sans-Serif"/>
          <w:b/>
          <w:i w:val="false"/>
          <w:caps w:val="false"/>
          <w:smallCaps w:val="false"/>
          <w:sz w:val="22"/>
          <w:u w:val="single"/>
        </w:rPr>
      </w:pPr>
      <w:r>
        <w:rPr>
          <w:rFonts w:ascii="Calibri;Helvetica;Sans-Serif" w:hAnsi="Calibri;Helvetica;Sans-Serif"/>
          <w:b/>
          <w:i w:val="false"/>
          <w:caps w:val="false"/>
          <w:smallCaps w:val="false"/>
          <w:sz w:val="22"/>
          <w:u w:val="single"/>
        </w:rPr>
        <w:t>Recent Financial Highlights</w:t>
      </w:r>
    </w:p>
    <w:tbl>
      <w:tblPr>
        <w:tblW w:w="5000" w:type="pct"/>
        <w:jc w:val="left"/>
        <w:tblInd w:w="0" w:type="dxa"/>
        <w:tblLayout w:type="fixed"/>
        <w:tblCellMar>
          <w:top w:w="0" w:type="dxa"/>
          <w:left w:w="0" w:type="dxa"/>
          <w:bottom w:w="0" w:type="dxa"/>
          <w:right w:w="0" w:type="dxa"/>
        </w:tblCellMar>
      </w:tblPr>
      <w:tblGrid>
        <w:gridCol w:w="115"/>
        <w:gridCol w:w="298"/>
        <w:gridCol w:w="9792"/>
      </w:tblGrid>
      <w:tr>
        <w:trPr/>
        <w:tc>
          <w:tcPr>
            <w:tcW w:w="11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pPr>
            <w:r>
              <w:rPr/>
              <w:t>●</w:t>
            </w:r>
          </w:p>
        </w:tc>
        <w:tc>
          <w:tcPr>
            <w:tcW w:w="9792" w:type="dxa"/>
            <w:tcBorders/>
            <w:vAlign w:val="center"/>
          </w:tcPr>
          <w:p>
            <w:pPr>
              <w:pStyle w:val="TableContents"/>
              <w:bidi w:val="0"/>
              <w:spacing w:before="0" w:after="283"/>
              <w:jc w:val="left"/>
              <w:rPr/>
            </w:pPr>
            <w:r>
              <w:rPr/>
              <w:t>Cash burn excluding net financing proceeds in Q2 2025 was $7.1 million</w:t>
            </w:r>
          </w:p>
        </w:tc>
      </w:tr>
    </w:tbl>
    <w:tbl>
      <w:tblPr>
        <w:tblW w:w="5000" w:type="pct"/>
        <w:jc w:val="left"/>
        <w:tblInd w:w="0" w:type="dxa"/>
        <w:tblLayout w:type="fixed"/>
        <w:tblCellMar>
          <w:top w:w="0" w:type="dxa"/>
          <w:left w:w="0" w:type="dxa"/>
          <w:bottom w:w="0" w:type="dxa"/>
          <w:right w:w="0" w:type="dxa"/>
        </w:tblCellMar>
      </w:tblPr>
      <w:tblGrid>
        <w:gridCol w:w="82"/>
        <w:gridCol w:w="215"/>
        <w:gridCol w:w="9908"/>
      </w:tblGrid>
      <w:tr>
        <w:trPr/>
        <w:tc>
          <w:tcPr>
            <w:tcW w:w="8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w:t>
            </w:r>
          </w:p>
        </w:tc>
        <w:tc>
          <w:tcPr>
            <w:tcW w:w="9908" w:type="dxa"/>
            <w:tcBorders/>
            <w:vAlign w:val="center"/>
          </w:tcPr>
          <w:p>
            <w:pPr>
              <w:pStyle w:val="TableContents"/>
              <w:bidi w:val="0"/>
              <w:spacing w:before="0" w:after="283"/>
              <w:jc w:val="left"/>
              <w:rPr/>
            </w:pPr>
            <w:r>
              <w:rPr/>
              <w:t>GAAP net loss in Q2 2025 was $(9.3) million, or $(0.48) per share, based on 19.1 million weighted average common shares outstanding</w:t>
            </w:r>
          </w:p>
        </w:tc>
      </w:tr>
    </w:tbl>
    <w:tbl>
      <w:tblPr>
        <w:tblW w:w="5000" w:type="pct"/>
        <w:jc w:val="left"/>
        <w:tblInd w:w="0" w:type="dxa"/>
        <w:tblLayout w:type="fixed"/>
        <w:tblCellMar>
          <w:top w:w="0" w:type="dxa"/>
          <w:left w:w="0" w:type="dxa"/>
          <w:bottom w:w="0" w:type="dxa"/>
          <w:right w:w="0" w:type="dxa"/>
        </w:tblCellMar>
      </w:tblPr>
      <w:tblGrid>
        <w:gridCol w:w="82"/>
        <w:gridCol w:w="215"/>
        <w:gridCol w:w="9908"/>
      </w:tblGrid>
      <w:tr>
        <w:trPr/>
        <w:tc>
          <w:tcPr>
            <w:tcW w:w="8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w:t>
            </w:r>
          </w:p>
        </w:tc>
        <w:tc>
          <w:tcPr>
            <w:tcW w:w="9908" w:type="dxa"/>
            <w:tcBorders/>
            <w:vAlign w:val="center"/>
          </w:tcPr>
          <w:p>
            <w:pPr>
              <w:pStyle w:val="TableContents"/>
              <w:bidi w:val="0"/>
              <w:spacing w:before="0" w:after="283"/>
              <w:jc w:val="left"/>
              <w:rPr/>
            </w:pPr>
            <w:r>
              <w:rPr/>
              <w:t>Non-GAAP net loss in Q2 2025 was $(6.7) million, or $(0.35) per share, based on 19.1 million weighted average common shares outstanding</w:t>
            </w:r>
          </w:p>
        </w:tc>
      </w:tr>
    </w:tbl>
    <w:tbl>
      <w:tblPr>
        <w:tblW w:w="5000" w:type="pct"/>
        <w:jc w:val="left"/>
        <w:tblInd w:w="0" w:type="dxa"/>
        <w:tblLayout w:type="fixed"/>
        <w:tblCellMar>
          <w:top w:w="0" w:type="dxa"/>
          <w:left w:w="0" w:type="dxa"/>
          <w:bottom w:w="0" w:type="dxa"/>
          <w:right w:w="0" w:type="dxa"/>
        </w:tblCellMar>
      </w:tblPr>
      <w:tblGrid>
        <w:gridCol w:w="96"/>
        <w:gridCol w:w="249"/>
        <w:gridCol w:w="9860"/>
      </w:tblGrid>
      <w:tr>
        <w:trPr/>
        <w:tc>
          <w:tcPr>
            <w:tcW w:w="9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w:t>
            </w:r>
          </w:p>
        </w:tc>
        <w:tc>
          <w:tcPr>
            <w:tcW w:w="9860" w:type="dxa"/>
            <w:tcBorders/>
            <w:vAlign w:val="center"/>
          </w:tcPr>
          <w:p>
            <w:pPr>
              <w:pStyle w:val="TableContents"/>
              <w:bidi w:val="0"/>
              <w:spacing w:before="0" w:after="283"/>
              <w:jc w:val="left"/>
              <w:rPr/>
            </w:pPr>
            <w:r>
              <w:rPr/>
              <w:t>Cash, cash equivalents, and marketable securities were $19.2 million as of June 30, 2025</w:t>
            </w:r>
          </w:p>
        </w:tc>
      </w:tr>
    </w:tbl>
    <w:p>
      <w:pPr>
        <w:pStyle w:val="TextBody"/>
        <w:bidi w:val="0"/>
        <w:spacing w:lineRule="auto" w:line="256"/>
        <w:jc w:val="left"/>
        <w:rPr>
          <w:caps w:val="false"/>
          <w:smallCaps w:val="false"/>
        </w:rPr>
      </w:pPr>
      <w:r>
        <w:rPr>
          <w:caps w:val="false"/>
          <w:smallCaps w:val="false"/>
        </w:rPr>
        <w:t> </w:t>
      </w:r>
    </w:p>
    <w:p>
      <w:pPr>
        <w:pStyle w:val="TextBody"/>
        <w:bidi w:val="0"/>
        <w:spacing w:lineRule="auto" w:line="256" w:before="0" w:after="160"/>
        <w:jc w:val="left"/>
        <w:rPr>
          <w:caps w:val="false"/>
          <w:smallCaps w:val="false"/>
        </w:rPr>
      </w:pPr>
      <w:r>
        <w:rPr>
          <w:caps w:val="false"/>
          <w:smallCaps w:val="false"/>
        </w:rPr>
        <w:t>“</w:t>
      </w:r>
      <w:r>
        <w:rPr>
          <w:rFonts w:ascii="Calibri;Helvetica;Sans-Serif" w:hAnsi="Calibri;Helvetica;Sans-Serif"/>
          <w:b w:val="false"/>
          <w:i w:val="false"/>
          <w:caps w:val="false"/>
          <w:smallCaps w:val="false"/>
          <w:sz w:val="22"/>
        </w:rPr>
        <w:t>We stepped up our progress in Q2, advancing our commercial strategy while maintaining strong financial discipline, laying the groundwork for expected long-term growth,” said Conor Tierney, CFO of AEye. “We ended the quarter with $19.2 million in cash, cash equivalents, and marketable securities, which we have more than tripled since then. With this momentum, we believe we’re well-positioned to capitalize on growing customer demand and deepen our foothold within our key markets,” said Conor Tierney, Chief Financial Officer.</w:t>
      </w:r>
    </w:p>
    <w:p>
      <w:pPr>
        <w:pStyle w:val="TextBody"/>
        <w:bidi w:val="0"/>
        <w:spacing w:lineRule="auto" w:line="256" w:before="0" w:after="160"/>
        <w:jc w:val="left"/>
        <w:rPr>
          <w:caps w:val="false"/>
          <w:smallCaps w:val="false"/>
        </w:rPr>
      </w:pPr>
      <w:r>
        <w:rPr>
          <w:caps w:val="false"/>
          <w:smallCaps w:val="false"/>
        </w:rPr>
        <w:t> </w:t>
      </w:r>
    </w:p>
    <w:p>
      <w:pPr>
        <w:pStyle w:val="TextBody"/>
        <w:bidi w:val="0"/>
        <w:spacing w:lineRule="auto" w:line="256" w:before="0" w:after="160"/>
        <w:jc w:val="left"/>
        <w:rPr>
          <w:rFonts w:ascii="Calibri;Helvetica;Sans-Serif" w:hAnsi="Calibri;Helvetica;Sans-Serif"/>
          <w:b/>
          <w:i w:val="false"/>
          <w:caps w:val="false"/>
          <w:smallCaps w:val="false"/>
          <w:sz w:val="22"/>
          <w:u w:val="single"/>
        </w:rPr>
      </w:pPr>
      <w:r>
        <w:rPr>
          <w:rFonts w:ascii="Calibri;Helvetica;Sans-Serif" w:hAnsi="Calibri;Helvetica;Sans-Serif"/>
          <w:b/>
          <w:i w:val="false"/>
          <w:caps w:val="false"/>
          <w:smallCaps w:val="false"/>
          <w:sz w:val="22"/>
          <w:u w:val="single"/>
        </w:rPr>
        <w:t>2025 Financial Outlook</w:t>
      </w:r>
    </w:p>
    <w:p>
      <w:pPr>
        <w:pStyle w:val="TextBody"/>
        <w:bidi w:val="0"/>
        <w:spacing w:lineRule="auto" w:line="256" w:before="0" w:after="160"/>
        <w:jc w:val="left"/>
        <w:rPr>
          <w:rFonts w:ascii="Calibri;Helvetica;Sans-Serif" w:hAnsi="Calibri;Helvetica;Sans-Serif"/>
          <w:b w:val="false"/>
          <w:i w:val="false"/>
          <w:caps w:val="false"/>
          <w:smallCaps w:val="false"/>
          <w:sz w:val="22"/>
        </w:rPr>
      </w:pPr>
      <w:r>
        <w:rPr>
          <w:rFonts w:ascii="Calibri;Helvetica;Sans-Serif" w:hAnsi="Calibri;Helvetica;Sans-Serif"/>
          <w:b w:val="false"/>
          <w:i w:val="false"/>
          <w:caps w:val="false"/>
          <w:smallCaps w:val="false"/>
          <w:sz w:val="22"/>
        </w:rPr>
        <w:t>AEye expects cash burn for full year 2025 to be within the previously communicated range of $27 million to $29 million.</w:t>
      </w:r>
    </w:p>
    <w:p>
      <w:pPr>
        <w:pStyle w:val="TextBody"/>
        <w:bidi w:val="0"/>
        <w:spacing w:lineRule="auto" w:line="256" w:before="0" w:after="160"/>
        <w:jc w:val="left"/>
        <w:rPr>
          <w:rFonts w:ascii="Calibri;Helvetica;Sans-Serif" w:hAnsi="Calibri;Helvetica;Sans-Serif"/>
          <w:b/>
          <w:i w:val="false"/>
          <w:caps w:val="false"/>
          <w:smallCaps w:val="false"/>
          <w:sz w:val="22"/>
          <w:u w:val="single"/>
        </w:rPr>
      </w:pPr>
      <w:r>
        <w:rPr>
          <w:rFonts w:ascii="Calibri;Helvetica;Sans-Serif" w:hAnsi="Calibri;Helvetica;Sans-Serif"/>
          <w:b/>
          <w:i w:val="false"/>
          <w:caps w:val="false"/>
          <w:smallCaps w:val="false"/>
          <w:sz w:val="22"/>
          <w:u w:val="single"/>
        </w:rPr>
        <w:t>Conference Call and Webcast Details</w:t>
      </w:r>
    </w:p>
    <w:p>
      <w:pPr>
        <w:pStyle w:val="TextBody"/>
        <w:bidi w:val="0"/>
        <w:spacing w:lineRule="auto" w:line="256" w:before="0" w:after="160"/>
        <w:jc w:val="left"/>
        <w:rPr>
          <w:rFonts w:ascii="Calibri;Helvetica;Sans-Serif" w:hAnsi="Calibri;Helvetica;Sans-Serif"/>
          <w:b w:val="false"/>
          <w:i w:val="false"/>
          <w:caps w:val="false"/>
          <w:smallCaps w:val="false"/>
          <w:sz w:val="22"/>
        </w:rPr>
      </w:pPr>
      <w:r>
        <w:rPr>
          <w:rFonts w:ascii="Calibri;Helvetica;Sans-Serif" w:hAnsi="Calibri;Helvetica;Sans-Serif"/>
          <w:b w:val="false"/>
          <w:i w:val="false"/>
          <w:caps w:val="false"/>
          <w:smallCaps w:val="false"/>
          <w:sz w:val="22"/>
        </w:rPr>
        <w:t>AEye management will webcast its investor conference call today, July 31, 2025, at 2:00 p.m. Pacific Time (5:00 p.m. Eastern Time) to discuss these results. AEye CEO Matt Fisch and CFO Conor Tierney will host the call, followed by a question-and-answer session.</w:t>
      </w:r>
    </w:p>
    <w:p>
      <w:pPr>
        <w:pStyle w:val="TextBody"/>
        <w:bidi w:val="0"/>
        <w:spacing w:lineRule="auto" w:line="256" w:before="0" w:after="160"/>
        <w:jc w:val="left"/>
        <w:rPr>
          <w:rFonts w:ascii="Calibri;Helvetica;Sans-Serif" w:hAnsi="Calibri;Helvetica;Sans-Serif"/>
          <w:b w:val="false"/>
          <w:i w:val="false"/>
          <w:caps w:val="false"/>
          <w:smallCaps w:val="false"/>
          <w:sz w:val="22"/>
        </w:rPr>
      </w:pPr>
      <w:r>
        <w:rPr>
          <w:rFonts w:ascii="Calibri;Helvetica;Sans-Serif" w:hAnsi="Calibri;Helvetica;Sans-Serif"/>
          <w:b w:val="false"/>
          <w:i w:val="false"/>
          <w:caps w:val="false"/>
          <w:smallCaps w:val="false"/>
          <w:sz w:val="22"/>
        </w:rPr>
        <w:t xml:space="preserve">The webcast and accompanying slides will be accessible via the company’s website at </w:t>
      </w:r>
      <w:r>
        <w:rPr>
          <w:rFonts w:ascii="Calibri;Helvetica;Sans-Serif" w:hAnsi="Calibri;Helvetica;Sans-Serif"/>
          <w:b w:val="false"/>
          <w:i w:val="false"/>
          <w:caps w:val="false"/>
          <w:smallCaps w:val="false"/>
          <w:color w:val="0000FF"/>
          <w:sz w:val="22"/>
        </w:rPr>
        <w:t>https://investors.aeye.ai/</w:t>
      </w:r>
      <w:r>
        <w:rPr>
          <w:rFonts w:ascii="Calibri;Helvetica;Sans-Serif" w:hAnsi="Calibri;Helvetica;Sans-Serif"/>
          <w:b w:val="false"/>
          <w:i w:val="false"/>
          <w:caps w:val="false"/>
          <w:smallCaps w:val="false"/>
          <w:sz w:val="22"/>
        </w:rPr>
        <w:t>.</w:t>
      </w:r>
    </w:p>
    <w:p>
      <w:pPr>
        <w:pStyle w:val="TextBody"/>
        <w:bidi w:val="0"/>
        <w:spacing w:lineRule="auto" w:line="256" w:before="0" w:after="160"/>
        <w:jc w:val="left"/>
        <w:rPr>
          <w:rFonts w:ascii="Calibri;Helvetica;Sans-Serif" w:hAnsi="Calibri;Helvetica;Sans-Serif"/>
          <w:b/>
          <w:i w:val="false"/>
          <w:caps w:val="false"/>
          <w:smallCaps w:val="false"/>
          <w:sz w:val="22"/>
          <w:u w:val="single"/>
        </w:rPr>
      </w:pPr>
      <w:r>
        <w:rPr>
          <w:rFonts w:ascii="Calibri;Helvetica;Sans-Serif" w:hAnsi="Calibri;Helvetica;Sans-Serif"/>
          <w:b/>
          <w:i w:val="false"/>
          <w:caps w:val="false"/>
          <w:smallCaps w:val="false"/>
          <w:sz w:val="22"/>
          <w:u w:val="single"/>
        </w:rPr>
        <w:t>Access is also available via:</w:t>
      </w:r>
    </w:p>
    <w:p>
      <w:pPr>
        <w:pStyle w:val="TextBody"/>
        <w:bidi w:val="0"/>
        <w:spacing w:lineRule="auto" w:line="256" w:before="0" w:after="160"/>
        <w:jc w:val="left"/>
        <w:rPr>
          <w:rFonts w:ascii="Calibri;Helvetica;Sans-Serif" w:hAnsi="Calibri;Helvetica;Sans-Serif"/>
          <w:b w:val="false"/>
          <w:i w:val="false"/>
          <w:caps w:val="false"/>
          <w:smallCaps w:val="false"/>
          <w:sz w:val="22"/>
        </w:rPr>
      </w:pPr>
      <w:r>
        <w:rPr>
          <w:rFonts w:ascii="Calibri;Helvetica;Sans-Serif" w:hAnsi="Calibri;Helvetica;Sans-Serif"/>
          <w:b w:val="false"/>
          <w:i w:val="false"/>
          <w:caps w:val="false"/>
          <w:smallCaps w:val="false"/>
          <w:sz w:val="22"/>
        </w:rPr>
        <w:t>Webcast: </w:t>
      </w:r>
      <w:r>
        <w:rPr>
          <w:rFonts w:ascii="Calibri;Helvetica;Sans-Serif" w:hAnsi="Calibri;Helvetica;Sans-Serif"/>
          <w:b w:val="false"/>
          <w:i w:val="false"/>
          <w:caps w:val="false"/>
          <w:smallCaps w:val="false"/>
          <w:color w:val="0000FF"/>
          <w:sz w:val="22"/>
          <w:u w:val="single"/>
        </w:rPr>
        <w:t>https://aeye.pub/4nGHVGn</w:t>
      </w:r>
    </w:p>
    <w:p>
      <w:pPr>
        <w:pStyle w:val="TextBody"/>
        <w:bidi w:val="0"/>
        <w:spacing w:lineRule="auto" w:line="256" w:before="0" w:after="160"/>
        <w:jc w:val="left"/>
        <w:rPr>
          <w:rFonts w:ascii="Calibri;Helvetica;Sans-Serif" w:hAnsi="Calibri;Helvetica;Sans-Serif"/>
          <w:b/>
          <w:i w:val="false"/>
          <w:caps w:val="false"/>
          <w:smallCaps w:val="false"/>
          <w:sz w:val="22"/>
          <w:u w:val="single"/>
        </w:rPr>
      </w:pPr>
      <w:r>
        <w:rPr>
          <w:rFonts w:ascii="Calibri;Helvetica;Sans-Serif" w:hAnsi="Calibri;Helvetica;Sans-Serif"/>
          <w:b/>
          <w:i w:val="false"/>
          <w:caps w:val="false"/>
          <w:smallCaps w:val="false"/>
          <w:sz w:val="22"/>
          <w:u w:val="single"/>
        </w:rPr>
        <w:t>About AEye</w:t>
      </w:r>
    </w:p>
    <w:p>
      <w:pPr>
        <w:pStyle w:val="TextBody"/>
        <w:bidi w:val="0"/>
        <w:spacing w:lineRule="auto" w:line="256" w:before="0" w:after="160"/>
        <w:jc w:val="left"/>
        <w:rPr>
          <w:rFonts w:ascii="Calibri;Helvetica;Sans-Serif" w:hAnsi="Calibri;Helvetica;Sans-Serif"/>
          <w:b w:val="false"/>
          <w:i w:val="false"/>
          <w:caps w:val="false"/>
          <w:smallCaps w:val="false"/>
          <w:sz w:val="22"/>
        </w:rPr>
      </w:pPr>
      <w:r>
        <w:rPr>
          <w:rFonts w:ascii="Calibri;Helvetica;Sans-Serif" w:hAnsi="Calibri;Helvetica;Sans-Serif"/>
          <w:b w:val="false"/>
          <w:i w:val="false"/>
          <w:caps w:val="false"/>
          <w:smallCaps w:val="false"/>
          <w:sz w:val="22"/>
        </w:rPr>
        <w:t>AEye offers unique software-defined lidar solutions that enable advanced driver-assistance, vehicle autonomy, smart infrastructure, security, and logistics applications that save lives and propel the future of transportation and mobility. AEye’s flagship product, Apollo, has been widely recognized for its small form factor and its ability to detect objects at up to one kilometer. In addition to Apollo as a stand-alone sensor, AEye also offers a full-stack solution through its OPTIS™ platform. OPTIS™ provides a complete system that captures a high-resolution 3D image of the world, interprets it, and provides direction to act upon what it sees in real-time.</w:t>
      </w:r>
    </w:p>
    <w:p>
      <w:pPr>
        <w:pStyle w:val="TextBody"/>
        <w:bidi w:val="0"/>
        <w:spacing w:lineRule="auto" w:line="256" w:before="0" w:after="160"/>
        <w:jc w:val="left"/>
        <w:rPr>
          <w:rFonts w:ascii="Calibri;Helvetica;Sans-Serif" w:hAnsi="Calibri;Helvetica;Sans-Serif"/>
          <w:b/>
          <w:i w:val="false"/>
          <w:caps w:val="false"/>
          <w:smallCaps w:val="false"/>
          <w:sz w:val="22"/>
          <w:u w:val="single"/>
        </w:rPr>
      </w:pPr>
      <w:r>
        <w:rPr>
          <w:rFonts w:ascii="Calibri;Helvetica;Sans-Serif" w:hAnsi="Calibri;Helvetica;Sans-Serif"/>
          <w:b/>
          <w:i w:val="false"/>
          <w:caps w:val="false"/>
          <w:smallCaps w:val="false"/>
          <w:sz w:val="22"/>
          <w:u w:val="single"/>
        </w:rPr>
        <w:t>Non-GAAP Financial Measures</w:t>
      </w:r>
    </w:p>
    <w:p>
      <w:pPr>
        <w:pStyle w:val="TextBody"/>
        <w:bidi w:val="0"/>
        <w:spacing w:lineRule="auto" w:line="256" w:before="0" w:after="160"/>
        <w:jc w:val="left"/>
        <w:rPr>
          <w:rFonts w:ascii="Calibri;Helvetica;Sans-Serif" w:hAnsi="Calibri;Helvetica;Sans-Serif"/>
          <w:b w:val="false"/>
          <w:i w:val="false"/>
          <w:caps w:val="false"/>
          <w:smallCaps w:val="false"/>
          <w:sz w:val="22"/>
        </w:rPr>
      </w:pPr>
      <w:r>
        <w:rPr>
          <w:rFonts w:ascii="Calibri;Helvetica;Sans-Serif" w:hAnsi="Calibri;Helvetica;Sans-Serif"/>
          <w:b w:val="false"/>
          <w:i w:val="false"/>
          <w:caps w:val="false"/>
          <w:smallCaps w:val="false"/>
          <w:sz w:val="22"/>
        </w:rPr>
        <w:t>The non-GAAP measures provided in this press release should not be considered a substitute for, or superior to, measures of financial performance prepared in accordance with generally accepted accounting principles (GAAP) in the United States. A reconciliation between GAAP and non-GAAP financial data is included in the supplemental financial data attached to this press release. Non-GAAP financial measures do not have any standardized meaning and are therefore unlikely to be comparable to similarly titled measures presented by other companies. AEye considers these non-GAAP financial measures to be important because they provide additional insight into the Company’s on-going performance. The Company provides this information to help investors evaluate the results of the Company’s on-going operations and to enable more meaningful and consistent period-to-period comparisons. Non-GAAP financial measures are presented only as supplemental information to understand the Company’s operating results. The non-GAAP financial measures should not be considered a substitute for financial information presented in accordance with GAAP.</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256" w:before="0" w:after="160"/>
        <w:jc w:val="left"/>
        <w:rPr>
          <w:caps w:val="false"/>
          <w:smallCaps w:val="false"/>
        </w:rPr>
      </w:pPr>
      <w:r>
        <w:rPr>
          <w:caps w:val="false"/>
          <w:smallCaps w:val="false"/>
        </w:rPr>
        <w:t> </w:t>
      </w:r>
    </w:p>
    <w:p>
      <w:pPr>
        <w:pStyle w:val="TextBody"/>
        <w:bidi w:val="0"/>
        <w:spacing w:lineRule="auto" w:line="256" w:before="0" w:after="160"/>
        <w:jc w:val="left"/>
        <w:rPr>
          <w:rFonts w:ascii="Calibri;Helvetica;Sans-Serif" w:hAnsi="Calibri;Helvetica;Sans-Serif"/>
          <w:b w:val="false"/>
          <w:i w:val="false"/>
          <w:caps w:val="false"/>
          <w:smallCaps w:val="false"/>
          <w:sz w:val="22"/>
        </w:rPr>
      </w:pPr>
      <w:r>
        <w:rPr>
          <w:rFonts w:ascii="Calibri;Helvetica;Sans-Serif" w:hAnsi="Calibri;Helvetica;Sans-Serif"/>
          <w:b w:val="false"/>
          <w:i w:val="false"/>
          <w:caps w:val="false"/>
          <w:smallCaps w:val="false"/>
          <w:sz w:val="22"/>
        </w:rPr>
        <w:t>This press release includes the following non-GAAP financial measures:</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lineRule="auto" w:line="256" w:before="0" w:after="283"/>
              <w:jc w:val="left"/>
              <w:rPr>
                <w:caps w:val="false"/>
                <w:smallCaps w:val="false"/>
              </w:rPr>
            </w:pPr>
            <w:r>
              <w:rPr>
                <w:caps w:val="false"/>
                <w:smallCaps w:val="false"/>
              </w:rPr>
              <w:t>●</w:t>
            </w:r>
          </w:p>
        </w:tc>
        <w:tc>
          <w:tcPr>
            <w:tcW w:w="9960" w:type="dxa"/>
            <w:tcBorders/>
            <w:vAlign w:val="center"/>
          </w:tcPr>
          <w:p>
            <w:pPr>
              <w:pStyle w:val="TableContents"/>
              <w:bidi w:val="0"/>
              <w:spacing w:lineRule="auto" w:line="256" w:before="0" w:after="283"/>
              <w:jc w:val="left"/>
              <w:rPr>
                <w:rFonts w:ascii="Calibri;Helvetica;Sans-Serif" w:hAnsi="Calibri;Helvetica;Sans-Serif"/>
                <w:b w:val="false"/>
                <w:i w:val="false"/>
                <w:caps w:val="false"/>
                <w:smallCaps w:val="false"/>
                <w:sz w:val="22"/>
              </w:rPr>
            </w:pPr>
            <w:r>
              <w:rPr>
                <w:rFonts w:ascii="Calibri;Helvetica;Sans-Serif" w:hAnsi="Calibri;Helvetica;Sans-Serif"/>
                <w:b w:val="false"/>
                <w:i w:val="false"/>
                <w:caps w:val="false"/>
                <w:smallCaps w:val="false"/>
                <w:sz w:val="22"/>
              </w:rPr>
              <w:t>Non-GAAP net loss which is defined as GAAP net loss plus stock-based compensation, plus stock issuance and debt issuance costs, plus change in fair value of convertible note and warrant liabilities, plus expenses related to contested proxy, plus loss (gain) on termination of operating lease, net; and</w:t>
            </w:r>
          </w:p>
        </w:tc>
      </w:tr>
    </w:tbl>
    <w:p>
      <w:pPr>
        <w:pStyle w:val="TextBody"/>
        <w:bidi w:val="0"/>
        <w:spacing w:lineRule="auto" w:line="276"/>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lineRule="auto" w:line="256" w:before="0" w:after="283"/>
              <w:jc w:val="left"/>
              <w:rPr/>
            </w:pPr>
            <w:r>
              <w:rPr/>
              <w:t>●</w:t>
            </w:r>
          </w:p>
        </w:tc>
        <w:tc>
          <w:tcPr>
            <w:tcW w:w="9960" w:type="dxa"/>
            <w:tcBorders/>
            <w:vAlign w:val="center"/>
          </w:tcPr>
          <w:p>
            <w:pPr>
              <w:pStyle w:val="TableContents"/>
              <w:bidi w:val="0"/>
              <w:spacing w:lineRule="auto" w:line="256" w:before="0" w:after="283"/>
              <w:jc w:val="left"/>
              <w:rPr/>
            </w:pPr>
            <w:r>
              <w:rPr/>
              <w:t>Adjusted EBITDA, defined as non-GAAP net loss plus depreciation and amortization expense, less interest income and other, plus interest expense and other, plus provision for income tax.</w:t>
            </w:r>
          </w:p>
        </w:tc>
      </w:tr>
    </w:tbl>
    <w:p>
      <w:pPr>
        <w:pStyle w:val="TextBody"/>
        <w:bidi w:val="0"/>
        <w:spacing w:lineRule="auto" w:line="256" w:before="0" w:after="160"/>
        <w:jc w:val="left"/>
        <w:rPr>
          <w:caps w:val="false"/>
          <w:smallCaps w:val="false"/>
        </w:rPr>
      </w:pPr>
      <w:r>
        <w:rPr>
          <w:caps w:val="false"/>
          <w:smallCaps w:val="false"/>
        </w:rPr>
        <w:t> </w:t>
      </w:r>
    </w:p>
    <w:p>
      <w:pPr>
        <w:pStyle w:val="TextBody"/>
        <w:bidi w:val="0"/>
        <w:spacing w:lineRule="auto" w:line="256" w:before="0" w:after="160"/>
        <w:jc w:val="left"/>
        <w:rPr>
          <w:rFonts w:ascii="Calibri;Helvetica;Sans-Serif" w:hAnsi="Calibri;Helvetica;Sans-Serif"/>
          <w:b/>
          <w:i w:val="false"/>
          <w:caps w:val="false"/>
          <w:smallCaps w:val="false"/>
          <w:sz w:val="22"/>
          <w:u w:val="single"/>
        </w:rPr>
      </w:pPr>
      <w:r>
        <w:rPr>
          <w:rFonts w:ascii="Calibri;Helvetica;Sans-Serif" w:hAnsi="Calibri;Helvetica;Sans-Serif"/>
          <w:b/>
          <w:i w:val="false"/>
          <w:caps w:val="false"/>
          <w:smallCaps w:val="false"/>
          <w:sz w:val="22"/>
          <w:u w:val="single"/>
        </w:rPr>
        <w:t>Forward-Looking Statements</w:t>
      </w:r>
    </w:p>
    <w:p>
      <w:pPr>
        <w:pStyle w:val="TextBody"/>
        <w:bidi w:val="0"/>
        <w:jc w:val="left"/>
        <w:rPr>
          <w:rFonts w:ascii="Calibri;Helvetica;Sans-Serif" w:hAnsi="Calibri;Helvetica;Sans-Serif"/>
          <w:b w:val="false"/>
          <w:i w:val="false"/>
          <w:caps w:val="false"/>
          <w:smallCaps w:val="false"/>
          <w:sz w:val="22"/>
        </w:rPr>
      </w:pPr>
      <w:r>
        <w:rPr>
          <w:rFonts w:ascii="Calibri;Helvetica;Sans-Serif" w:hAnsi="Calibri;Helvetica;Sans-Serif"/>
          <w:b w:val="false"/>
          <w:i w:val="false"/>
          <w:caps w:val="false"/>
          <w:smallCaps w:val="false"/>
          <w:sz w:val="22"/>
        </w:rPr>
        <w:t>Certain statements included in this press release that are not historical facts are forward-looking statements within the meaning of the federal securities laws, including the safe harbor provisions under the United States Private Securities Litigation Reform Act of 1995. Forward-looking statements are sometimes accompanied by words such as “believe,” “continue,” “project,” “expect,” “anticipate,” “estimate,” “intend,” “strategy,” “future,” “opportunity,” “predict,” “plan,” “may,” “should,” “will,” “would,” “potential,” “seem,” “seek,” “outlook,” and similar expressions that predict or indicate future events or trends, or that are not statements of historical matters. Forward-looking statements are predictions, projections, and other statements about future events that are based on current expectations and assumptions and, as a result, are subject to risks and uncertainties. Forward-looking statements in this press release include, without limitation, statements about the potential benefits resulting from full integration into the NVIDIA DRIVE AGX Orin platform, the potential for revenue generation from various customers in different industries, the visibility to additional non-automotive orders potentially totaling thousands of units, the market opportunities and demand for AEye’s Apollo and OPTIS™ products, the Company’s expected cash burn for full year 2025, among others. These statements are based on various assumptions, whether or not identified in this press release. These forward-looking statements are provided for illustrative purposes only and are not intended to serve as and must not be relied on by an investor as a guarantee, an assurance, a prediction, or a definitive statement of fact or probability. Actual events and circumstances are very difficult or impossible to predict and will differ from the assumptions. Many actual events and circumstances are beyond the control of AEye. Many factors could cause actual future events to differ from the forward-looking statements in this press release, including but not limited to: (i) the risks that the full integration into the NVIDIA DRIVE AGX Orin platform may not drive expanded engagement opportunities with leading OEMs or pave the way for Hyperion integration to the extent or in the time frame anticipated, or at all; (ii) the risks that AEye may not realize some or all of the $30 million in revenue from the leading transportation OEM due to program delays, program cancellation, or otherwise; (iii) the risks that AEye may not receive revenue this year from the leading transportation OEM due to program delays, program cancellation, or otherwise; (iv) the risks that the additional non-automotive orders totaling thousands of units may not materialize to the extent or in the time frame anticipated, or at all; (v) the risks that the multiple deployments secured for OPTIS™ may not result in product sales to the extent anticipated, or at all; (vi) the risks that participation in the WinTOR initiative may not create significant sourcing advantage for future OEM programs to the extent anticipated, or at all; (vii) the risks that the growth capital raised may not be sufficient to execute on AEye’s strategic plan to the extent anticipated, or at all; (viii) the risks that AEye may not be able to deliver sustained growth to the extent or in the time frame anticipated, or at all; (ix) the risks that the active engagement with more than 100 potential customers may not result in revenue to the extent or in the time frame anticipated, or at all; (x) the risks that AEye may not have nor maintain its leading position in the automotive markets; (xi) the risk that OPTIS™ may not unlock opportunities into high-value applications, like intelligent transportation systems, airport safety and security, perimeter security, defense and transportation logistics, to the extent or in the time frame anticipated, or at all; (xii) the risks that AEye may not be primed to scale rapidly or deliver long-term value to the extent or in the time frame anticipated, or at all; (xiii) the risks that AEye may not be well-positioned to capitalize on growing customer demand nor able to deepen its foothold within its key markets to the extent or in the time frame anticipated, or at all; (xiv) the risks that the cash burn for the full year 2025 may exceed the previously communicated range of range of $27 million to $29 million due to unanticipated expenses or otherwise; (xv) the risks that market conditions may create delays in the demand for commercial lidar products beyond AEye’s expectations, if at all; (xvi) the risks that lidar adoption occurs slower than anticipated or fails to occur at all; (xvii) the risks that AEye’s products may not meet the diverse range of performance and functional requirements of target markets and customers; (xviii) the risks that AEye’s products may not function as anticipated by AEye, or by target markets and customers; (xix) the risks that AEye may not be in a position to adequately or timely address either the near or long-term opportunities that may or may not exist in the evolving autonomous transportation industry; (xx) the risks that laws and regulations are adopted impacting the use of lidar that AEye is unable to comply with, in whole or in part;</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Calibri;Helvetica;Sans-Serif" w:hAnsi="Calibri;Helvetica;Sans-Serif"/>
          <w:b w:val="false"/>
          <w:i w:val="false"/>
          <w:caps w:val="false"/>
          <w:smallCaps w:val="false"/>
          <w:sz w:val="22"/>
        </w:rPr>
      </w:pPr>
      <w:r>
        <w:rPr>
          <w:rFonts w:ascii="Calibri;Helvetica;Sans-Serif" w:hAnsi="Calibri;Helvetica;Sans-Serif"/>
          <w:b w:val="false"/>
          <w:i w:val="false"/>
          <w:caps w:val="false"/>
          <w:smallCaps w:val="false"/>
          <w:sz w:val="22"/>
        </w:rPr>
        <w:t>(xxi) the risks associated with changes in competitive and regulated industries in which AEye operates, variations in operating performance across competitors, and changes in laws and regulations affecting AEye’s business; (xxii) the risks that AEye is unable to adequately implement its business plans, forecasts, and other expectations, and identify and realize additional opportunities; (xxiii) the risk that business wins many not result in the visibility to additional non-automotive orders potentially totaling thousands of units, or if at all; and (xxiv) the risks of economic downturns and a changing regulatory landscape in the highly competitive and evolving industry in which AEye operates. These risks and uncertainties may be amplified by current or future global conflicts and current and potential trade restrictions, trade tensions, and tariffs, all of which continue to cause economic uncertainty. The foregoing list of factors is not exhaustive. You should carefully consider the foregoing factors and the other risks and uncertainties described in the “Risk Factors” section of the periodic report that AEye has most recently filed with the U.S. Securities and Exchange Commission, or the SEC, and other documents filed by us or that will be filed by us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w:t>
      </w:r>
    </w:p>
    <w:p>
      <w:pPr>
        <w:pStyle w:val="TextBody"/>
        <w:bidi w:val="0"/>
        <w:jc w:val="left"/>
        <w:rPr>
          <w:caps w:val="false"/>
          <w:smallCaps w:val="false"/>
        </w:rPr>
      </w:pPr>
      <w:r>
        <w:rPr>
          <w:caps w:val="false"/>
          <w:smallCaps w:val="false"/>
        </w:rPr>
        <w:t> </w:t>
      </w:r>
    </w:p>
    <w:p>
      <w:pPr>
        <w:pStyle w:val="TextBody"/>
        <w:bidi w:val="0"/>
        <w:jc w:val="left"/>
        <w:rPr>
          <w:rFonts w:ascii="Calibri;Helvetica;Sans-Serif" w:hAnsi="Calibri;Helvetica;Sans-Serif"/>
          <w:b w:val="false"/>
          <w:i w:val="false"/>
          <w:caps w:val="false"/>
          <w:smallCaps w:val="false"/>
          <w:sz w:val="22"/>
        </w:rPr>
      </w:pPr>
      <w:r>
        <w:rPr>
          <w:rFonts w:ascii="Calibri;Helvetica;Sans-Serif" w:hAnsi="Calibri;Helvetica;Sans-Serif"/>
          <w:b w:val="false"/>
          <w:i w:val="false"/>
          <w:caps w:val="false"/>
          <w:smallCaps w:val="false"/>
          <w:sz w:val="22"/>
        </w:rPr>
        <w:t>Readers are cautioned not to put undue reliance on forward-looking statements; AEye assumes no obligation and does not intend to update or revise these forward-looking statements, whether as a result of new information, future events, or otherwise. AEye gives no assurance that AEye will achieve any of its expectations.</w:t>
      </w:r>
    </w:p>
    <w:p>
      <w:pPr>
        <w:pStyle w:val="TextBody"/>
        <w:bidi w:val="0"/>
        <w:spacing w:lineRule="auto" w:line="256" w:before="0" w:after="160"/>
        <w:jc w:val="left"/>
        <w:rPr>
          <w:caps w:val="false"/>
          <w:smallCaps w:val="false"/>
        </w:rPr>
      </w:pPr>
      <w:r>
        <w:rPr>
          <w:caps w:val="false"/>
          <w:smallCaps w:val="false"/>
        </w:rPr>
        <w:t> </w:t>
      </w:r>
    </w:p>
    <w:p>
      <w:pPr>
        <w:pStyle w:val="TextBody"/>
        <w:bidi w:val="0"/>
        <w:spacing w:lineRule="auto" w:line="256" w:before="0" w:after="160"/>
        <w:jc w:val="left"/>
        <w:rPr>
          <w:caps w:val="false"/>
          <w:smallCaps w:val="false"/>
        </w:rPr>
      </w:pPr>
      <w:r>
        <w:rPr>
          <w:caps w:val="false"/>
          <w:smallCaps w:val="false"/>
        </w:rPr>
        <w:t> </w:t>
      </w:r>
    </w:p>
    <w:p>
      <w:pPr>
        <w:pStyle w:val="TextBody"/>
        <w:bidi w:val="0"/>
        <w:spacing w:lineRule="auto" w:line="256" w:before="0" w:after="160"/>
        <w:jc w:val="left"/>
        <w:rPr>
          <w:caps w:val="false"/>
          <w:smallCaps w:val="false"/>
        </w:rPr>
      </w:pPr>
      <w:r>
        <w:rPr>
          <w:caps w:val="false"/>
          <w:smallCaps w:val="false"/>
        </w:rPr>
        <w:t> </w:t>
      </w:r>
    </w:p>
    <w:p>
      <w:pPr>
        <w:pStyle w:val="TextBody"/>
        <w:bidi w:val="0"/>
        <w:spacing w:lineRule="auto" w:line="256" w:before="0" w:after="160"/>
        <w:jc w:val="left"/>
        <w:rPr>
          <w:caps w:val="false"/>
          <w:smallCaps w:val="false"/>
        </w:rPr>
      </w:pPr>
      <w:r>
        <w:rPr>
          <w:caps w:val="false"/>
          <w:smallCaps w:val="false"/>
        </w:rPr>
        <w:t> </w:t>
      </w:r>
    </w:p>
    <w:p>
      <w:pPr>
        <w:pStyle w:val="TextBody"/>
        <w:bidi w:val="0"/>
        <w:spacing w:lineRule="auto" w:line="256" w:before="0" w:after="160"/>
        <w:jc w:val="left"/>
        <w:rPr>
          <w:caps w:val="false"/>
          <w:smallCaps w:val="false"/>
        </w:rPr>
      </w:pPr>
      <w:r>
        <w:rPr>
          <w:caps w:val="false"/>
          <w:smallCaps w:val="false"/>
        </w:rPr>
        <w:t> </w:t>
      </w:r>
    </w:p>
    <w:p>
      <w:pPr>
        <w:pStyle w:val="TextBody"/>
        <w:bidi w:val="0"/>
        <w:spacing w:lineRule="auto" w:line="256" w:before="0" w:after="160"/>
        <w:jc w:val="left"/>
        <w:rPr>
          <w:caps w:val="false"/>
          <w:smallCaps w:val="false"/>
        </w:rPr>
      </w:pPr>
      <w:r>
        <w:rPr>
          <w:caps w:val="false"/>
          <w:smallCaps w:val="false"/>
        </w:rPr>
        <w:t> </w:t>
      </w:r>
    </w:p>
    <w:p>
      <w:pPr>
        <w:pStyle w:val="TextBody"/>
        <w:bidi w:val="0"/>
        <w:spacing w:lineRule="auto" w:line="256" w:before="0" w:after="160"/>
        <w:jc w:val="left"/>
        <w:rPr>
          <w:caps w:val="false"/>
          <w:smallCaps w:val="false"/>
        </w:rPr>
      </w:pPr>
      <w:r>
        <w:rPr>
          <w:caps w:val="false"/>
          <w:smallCaps w:val="false"/>
        </w:rPr>
        <w:t> </w:t>
      </w:r>
    </w:p>
    <w:p>
      <w:pPr>
        <w:pStyle w:val="TextBody"/>
        <w:bidi w:val="0"/>
        <w:spacing w:lineRule="auto" w:line="256" w:before="0" w:after="160"/>
        <w:jc w:val="left"/>
        <w:rPr>
          <w:caps w:val="false"/>
          <w:smallCaps w:val="false"/>
        </w:rPr>
      </w:pPr>
      <w:r>
        <w:rPr>
          <w:caps w:val="false"/>
          <w:smallCaps w:val="false"/>
        </w:rPr>
        <w:t> </w:t>
      </w:r>
    </w:p>
    <w:p>
      <w:pPr>
        <w:pStyle w:val="TextBody"/>
        <w:bidi w:val="0"/>
        <w:spacing w:lineRule="auto" w:line="256" w:before="0" w:after="160"/>
        <w:jc w:val="left"/>
        <w:rPr>
          <w:caps w:val="false"/>
          <w:smallCaps w:val="false"/>
        </w:rPr>
      </w:pPr>
      <w:r>
        <w:rPr>
          <w:caps w:val="false"/>
          <w:smallCaps w:val="false"/>
        </w:rPr>
        <w:t> </w:t>
      </w:r>
    </w:p>
    <w:p>
      <w:pPr>
        <w:pStyle w:val="TextBody"/>
        <w:bidi w:val="0"/>
        <w:spacing w:lineRule="auto" w:line="256" w:before="0" w:after="16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2930" w:type="dxa"/>
        <w:jc w:val="left"/>
        <w:tblInd w:w="0" w:type="dxa"/>
        <w:tblLayout w:type="fixed"/>
        <w:tblCellMar>
          <w:top w:w="0" w:type="dxa"/>
          <w:left w:w="0" w:type="dxa"/>
          <w:bottom w:w="0" w:type="dxa"/>
          <w:right w:w="0" w:type="dxa"/>
        </w:tblCellMar>
      </w:tblPr>
      <w:tblGrid>
        <w:gridCol w:w="2930"/>
      </w:tblGrid>
      <w:tr>
        <w:trPr/>
        <w:tc>
          <w:tcPr>
            <w:tcW w:w="2930" w:type="dxa"/>
            <w:tcBorders/>
            <w:vAlign w:val="center"/>
          </w:tcPr>
          <w:p>
            <w:pPr>
              <w:pStyle w:val="TableContents"/>
              <w:bidi w:val="0"/>
              <w:spacing w:before="0" w:after="283"/>
              <w:jc w:val="left"/>
              <w:rPr>
                <w:b/>
              </w:rPr>
            </w:pPr>
            <w:r>
              <w:rPr>
                <w:b/>
              </w:rPr>
              <w:t>AEYE, INC.</w:t>
              <w:br/>
              <w:t>Consolidated Balance Sheets</w:t>
              <w:br/>
              <w:t>(In thousands)</w:t>
              <w:br/>
              <w:t>(Unaudited)</w:t>
            </w:r>
          </w:p>
        </w:tc>
      </w:tr>
    </w:tbl>
    <w:p>
      <w:pPr>
        <w:pStyle w:val="TextBody"/>
        <w:bidi w:val="0"/>
        <w:spacing w:before="0" w:after="283"/>
        <w:jc w:val="left"/>
        <w:rPr/>
      </w:pPr>
      <w:r>
        <w:rPr/>
        <w:t> </w:t>
      </w:r>
    </w:p>
    <w:tbl>
      <w:tblPr>
        <w:tblW w:w="9987" w:type="dxa"/>
        <w:jc w:val="left"/>
        <w:tblInd w:w="0" w:type="dxa"/>
        <w:tblLayout w:type="fixed"/>
        <w:tblCellMar>
          <w:top w:w="0" w:type="dxa"/>
          <w:left w:w="0" w:type="dxa"/>
          <w:bottom w:w="0" w:type="dxa"/>
          <w:right w:w="0" w:type="dxa"/>
        </w:tblCellMar>
      </w:tblPr>
      <w:tblGrid>
        <w:gridCol w:w="5315"/>
        <w:gridCol w:w="60"/>
        <w:gridCol w:w="252"/>
        <w:gridCol w:w="1576"/>
        <w:gridCol w:w="171"/>
        <w:gridCol w:w="60"/>
        <w:gridCol w:w="317"/>
        <w:gridCol w:w="1987"/>
        <w:gridCol w:w="249"/>
      </w:tblGrid>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999"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As of June 30, 2025</w:t>
            </w:r>
          </w:p>
        </w:tc>
        <w:tc>
          <w:tcPr>
            <w:tcW w:w="60" w:type="dxa"/>
            <w:tcBorders/>
            <w:vAlign w:val="center"/>
          </w:tcPr>
          <w:p>
            <w:pPr>
              <w:pStyle w:val="TableContents"/>
              <w:bidi w:val="0"/>
              <w:spacing w:before="0" w:after="283"/>
              <w:jc w:val="left"/>
              <w:rPr>
                <w:sz w:val="4"/>
                <w:szCs w:val="4"/>
              </w:rPr>
            </w:pPr>
            <w:r>
              <w:rPr>
                <w:sz w:val="4"/>
                <w:szCs w:val="4"/>
              </w:rPr>
            </w:r>
          </w:p>
        </w:tc>
        <w:tc>
          <w:tcPr>
            <w:tcW w:w="2553"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As of December 31, 2024</w:t>
            </w:r>
          </w:p>
        </w:tc>
      </w:tr>
      <w:tr>
        <w:trPr/>
        <w:tc>
          <w:tcPr>
            <w:tcW w:w="531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sz w:val="4"/>
                <w:szCs w:val="4"/>
              </w:rPr>
            </w:pPr>
            <w:r>
              <w:rPr>
                <w:sz w:val="4"/>
                <w:szCs w:val="4"/>
              </w:rPr>
            </w:r>
          </w:p>
        </w:tc>
        <w:tc>
          <w:tcPr>
            <w:tcW w:w="1576"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sz w:val="4"/>
                <w:szCs w:val="4"/>
              </w:rPr>
            </w:pPr>
            <w:r>
              <w:rPr>
                <w:sz w:val="4"/>
                <w:szCs w:val="4"/>
              </w:rPr>
            </w:r>
          </w:p>
        </w:tc>
        <w:tc>
          <w:tcPr>
            <w:tcW w:w="1987" w:type="dxa"/>
            <w:tcBorders/>
            <w:shd w:fill="CCEEFF" w:val="clear"/>
            <w:vAlign w:val="center"/>
          </w:tcPr>
          <w:p>
            <w:pPr>
              <w:pStyle w:val="TableContents"/>
              <w:bidi w:val="0"/>
              <w:spacing w:before="0" w:after="283"/>
              <w:jc w:val="right"/>
              <w:rPr/>
            </w:pPr>
            <w:r>
              <w:rPr/>
              <w:t> </w:t>
            </w:r>
          </w:p>
        </w:tc>
        <w:tc>
          <w:tcPr>
            <w:tcW w:w="249" w:type="dxa"/>
            <w:tcBorders/>
            <w:shd w:fill="CCEEFF" w:val="clear"/>
            <w:vAlign w:val="center"/>
          </w:tcPr>
          <w:p>
            <w:pPr>
              <w:pStyle w:val="TableContents"/>
              <w:bidi w:val="0"/>
              <w:spacing w:before="0" w:after="283"/>
              <w:jc w:val="left"/>
              <w:rPr>
                <w:sz w:val="4"/>
                <w:szCs w:val="4"/>
              </w:rPr>
            </w:pPr>
            <w:r>
              <w:rPr>
                <w:sz w:val="4"/>
                <w:szCs w:val="4"/>
              </w:rPr>
            </w:r>
          </w:p>
        </w:tc>
      </w:tr>
      <w:tr>
        <w:trPr/>
        <w:tc>
          <w:tcPr>
            <w:tcW w:w="5315"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sz w:val="4"/>
                <w:szCs w:val="4"/>
              </w:rPr>
            </w:pPr>
            <w:r>
              <w:rPr>
                <w:sz w:val="4"/>
                <w:szCs w:val="4"/>
              </w:rPr>
            </w:r>
          </w:p>
        </w:tc>
        <w:tc>
          <w:tcPr>
            <w:tcW w:w="1576"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sz w:val="4"/>
                <w:szCs w:val="4"/>
              </w:rPr>
            </w:pPr>
            <w:r>
              <w:rPr>
                <w:sz w:val="4"/>
                <w:szCs w:val="4"/>
              </w:rPr>
            </w:r>
          </w:p>
        </w:tc>
        <w:tc>
          <w:tcPr>
            <w:tcW w:w="1987"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sz w:val="4"/>
                <w:szCs w:val="4"/>
              </w:rPr>
            </w:pPr>
            <w:r>
              <w:rPr>
                <w:sz w:val="4"/>
                <w:szCs w:val="4"/>
              </w:rPr>
            </w:r>
          </w:p>
        </w:tc>
      </w:tr>
      <w:tr>
        <w:trPr/>
        <w:tc>
          <w:tcPr>
            <w:tcW w:w="531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w:t>
            </w:r>
          </w:p>
        </w:tc>
        <w:tc>
          <w:tcPr>
            <w:tcW w:w="1576" w:type="dxa"/>
            <w:tcBorders/>
            <w:shd w:fill="CCEEFF" w:val="clear"/>
            <w:vAlign w:val="center"/>
          </w:tcPr>
          <w:p>
            <w:pPr>
              <w:pStyle w:val="TableContents"/>
              <w:bidi w:val="0"/>
              <w:spacing w:before="0" w:after="283"/>
              <w:jc w:val="right"/>
              <w:rPr/>
            </w:pPr>
            <w:r>
              <w:rPr/>
              <w:t>2,374</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w:t>
            </w:r>
          </w:p>
        </w:tc>
        <w:tc>
          <w:tcPr>
            <w:tcW w:w="1987" w:type="dxa"/>
            <w:tcBorders/>
            <w:shd w:fill="CCEEFF" w:val="clear"/>
            <w:vAlign w:val="center"/>
          </w:tcPr>
          <w:p>
            <w:pPr>
              <w:pStyle w:val="TableContents"/>
              <w:bidi w:val="0"/>
              <w:spacing w:before="0" w:after="283"/>
              <w:jc w:val="right"/>
              <w:rPr/>
            </w:pPr>
            <w:r>
              <w:rPr/>
              <w:t>10,266</w:t>
            </w:r>
          </w:p>
        </w:tc>
        <w:tc>
          <w:tcPr>
            <w:tcW w:w="249" w:type="dxa"/>
            <w:tcBorders/>
            <w:shd w:fill="CCEEFF" w:val="clear"/>
            <w:vAlign w:val="center"/>
          </w:tcPr>
          <w:p>
            <w:pPr>
              <w:pStyle w:val="TableContents"/>
              <w:bidi w:val="0"/>
              <w:spacing w:before="0" w:after="283"/>
              <w:jc w:val="left"/>
              <w:rPr>
                <w:sz w:val="4"/>
                <w:szCs w:val="4"/>
              </w:rPr>
            </w:pPr>
            <w:r>
              <w:rPr>
                <w:sz w:val="4"/>
                <w:szCs w:val="4"/>
              </w:rPr>
            </w:r>
          </w:p>
        </w:tc>
      </w:tr>
      <w:tr>
        <w:trPr/>
        <w:tc>
          <w:tcPr>
            <w:tcW w:w="5315" w:type="dxa"/>
            <w:tcBorders/>
            <w:shd w:fill="FFFFFF" w:val="clear"/>
            <w:vAlign w:val="center"/>
          </w:tcPr>
          <w:p>
            <w:pPr>
              <w:pStyle w:val="TableContents"/>
              <w:bidi w:val="0"/>
              <w:spacing w:before="0" w:after="283"/>
              <w:jc w:val="left"/>
              <w:rPr/>
            </w:pPr>
            <w:r>
              <w:rPr/>
              <w:t>Marketable securities</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sz w:val="4"/>
                <w:szCs w:val="4"/>
              </w:rPr>
            </w:pPr>
            <w:r>
              <w:rPr>
                <w:sz w:val="4"/>
                <w:szCs w:val="4"/>
              </w:rPr>
            </w:r>
          </w:p>
        </w:tc>
        <w:tc>
          <w:tcPr>
            <w:tcW w:w="1576" w:type="dxa"/>
            <w:tcBorders/>
            <w:shd w:fill="FFFFFF" w:val="clear"/>
            <w:vAlign w:val="center"/>
          </w:tcPr>
          <w:p>
            <w:pPr>
              <w:pStyle w:val="TableContents"/>
              <w:bidi w:val="0"/>
              <w:spacing w:before="0" w:after="283"/>
              <w:jc w:val="right"/>
              <w:rPr/>
            </w:pPr>
            <w:r>
              <w:rPr/>
              <w:t>16,836</w:t>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sz w:val="4"/>
                <w:szCs w:val="4"/>
              </w:rPr>
            </w:pPr>
            <w:r>
              <w:rPr>
                <w:sz w:val="4"/>
                <w:szCs w:val="4"/>
              </w:rPr>
            </w:r>
          </w:p>
        </w:tc>
        <w:tc>
          <w:tcPr>
            <w:tcW w:w="1987" w:type="dxa"/>
            <w:tcBorders/>
            <w:shd w:fill="FFFFFF" w:val="clear"/>
            <w:vAlign w:val="center"/>
          </w:tcPr>
          <w:p>
            <w:pPr>
              <w:pStyle w:val="TableContents"/>
              <w:bidi w:val="0"/>
              <w:spacing w:before="0" w:after="283"/>
              <w:jc w:val="right"/>
              <w:rPr/>
            </w:pPr>
            <w:r>
              <w:rPr/>
              <w:t>12,012</w:t>
            </w:r>
          </w:p>
        </w:tc>
        <w:tc>
          <w:tcPr>
            <w:tcW w:w="249" w:type="dxa"/>
            <w:tcBorders/>
            <w:shd w:fill="FFFFFF" w:val="clear"/>
            <w:vAlign w:val="center"/>
          </w:tcPr>
          <w:p>
            <w:pPr>
              <w:pStyle w:val="TableContents"/>
              <w:bidi w:val="0"/>
              <w:spacing w:before="0" w:after="283"/>
              <w:jc w:val="left"/>
              <w:rPr>
                <w:sz w:val="4"/>
                <w:szCs w:val="4"/>
              </w:rPr>
            </w:pPr>
            <w:r>
              <w:rPr>
                <w:sz w:val="4"/>
                <w:szCs w:val="4"/>
              </w:rPr>
            </w:r>
          </w:p>
        </w:tc>
      </w:tr>
      <w:tr>
        <w:trPr/>
        <w:tc>
          <w:tcPr>
            <w:tcW w:w="5315"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sz w:val="4"/>
                <w:szCs w:val="4"/>
              </w:rPr>
            </w:pPr>
            <w:r>
              <w:rPr>
                <w:sz w:val="4"/>
                <w:szCs w:val="4"/>
              </w:rPr>
            </w:r>
          </w:p>
        </w:tc>
        <w:tc>
          <w:tcPr>
            <w:tcW w:w="1576" w:type="dxa"/>
            <w:tcBorders/>
            <w:shd w:fill="CCEEFF" w:val="clear"/>
            <w:vAlign w:val="center"/>
          </w:tcPr>
          <w:p>
            <w:pPr>
              <w:pStyle w:val="TableContents"/>
              <w:bidi w:val="0"/>
              <w:spacing w:before="0" w:after="283"/>
              <w:jc w:val="right"/>
              <w:rPr/>
            </w:pPr>
            <w:r>
              <w:rPr/>
              <w:t>27</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sz w:val="4"/>
                <w:szCs w:val="4"/>
              </w:rPr>
            </w:pPr>
            <w:r>
              <w:rPr>
                <w:sz w:val="4"/>
                <w:szCs w:val="4"/>
              </w:rPr>
            </w:r>
          </w:p>
        </w:tc>
        <w:tc>
          <w:tcPr>
            <w:tcW w:w="1987" w:type="dxa"/>
            <w:tcBorders/>
            <w:shd w:fill="CCEEFF" w:val="clear"/>
            <w:vAlign w:val="center"/>
          </w:tcPr>
          <w:p>
            <w:pPr>
              <w:pStyle w:val="TableContents"/>
              <w:bidi w:val="0"/>
              <w:spacing w:before="0" w:after="283"/>
              <w:jc w:val="right"/>
              <w:rPr/>
            </w:pPr>
            <w:r>
              <w:rPr/>
              <w:t>11</w:t>
            </w:r>
          </w:p>
        </w:tc>
        <w:tc>
          <w:tcPr>
            <w:tcW w:w="249" w:type="dxa"/>
            <w:tcBorders/>
            <w:shd w:fill="CCEEFF" w:val="clear"/>
            <w:vAlign w:val="center"/>
          </w:tcPr>
          <w:p>
            <w:pPr>
              <w:pStyle w:val="TableContents"/>
              <w:bidi w:val="0"/>
              <w:spacing w:before="0" w:after="283"/>
              <w:jc w:val="left"/>
              <w:rPr>
                <w:sz w:val="4"/>
                <w:szCs w:val="4"/>
              </w:rPr>
            </w:pPr>
            <w:r>
              <w:rPr>
                <w:sz w:val="4"/>
                <w:szCs w:val="4"/>
              </w:rPr>
            </w:r>
          </w:p>
        </w:tc>
      </w:tr>
      <w:tr>
        <w:trPr/>
        <w:tc>
          <w:tcPr>
            <w:tcW w:w="5315" w:type="dxa"/>
            <w:tcBorders/>
            <w:shd w:fill="FFFFFF" w:val="clear"/>
            <w:vAlign w:val="center"/>
          </w:tcPr>
          <w:p>
            <w:pPr>
              <w:pStyle w:val="TableContents"/>
              <w:bidi w:val="0"/>
              <w:spacing w:before="0" w:after="283"/>
              <w:jc w:val="left"/>
              <w:rPr/>
            </w:pPr>
            <w:r>
              <w:rPr/>
              <w:t>Inventories, net</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sz w:val="4"/>
                <w:szCs w:val="4"/>
              </w:rPr>
            </w:pPr>
            <w:r>
              <w:rPr>
                <w:sz w:val="4"/>
                <w:szCs w:val="4"/>
              </w:rPr>
            </w:r>
          </w:p>
        </w:tc>
        <w:tc>
          <w:tcPr>
            <w:tcW w:w="1576" w:type="dxa"/>
            <w:tcBorders/>
            <w:shd w:fill="FFFFFF" w:val="clear"/>
            <w:vAlign w:val="center"/>
          </w:tcPr>
          <w:p>
            <w:pPr>
              <w:pStyle w:val="TableContents"/>
              <w:bidi w:val="0"/>
              <w:spacing w:before="0" w:after="283"/>
              <w:jc w:val="right"/>
              <w:rPr/>
            </w:pPr>
            <w:r>
              <w:rPr/>
              <w:t>232</w:t>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sz w:val="4"/>
                <w:szCs w:val="4"/>
              </w:rPr>
            </w:pPr>
            <w:r>
              <w:rPr>
                <w:sz w:val="4"/>
                <w:szCs w:val="4"/>
              </w:rPr>
            </w:r>
          </w:p>
        </w:tc>
        <w:tc>
          <w:tcPr>
            <w:tcW w:w="1987" w:type="dxa"/>
            <w:tcBorders/>
            <w:shd w:fill="FFFFFF" w:val="clear"/>
            <w:vAlign w:val="center"/>
          </w:tcPr>
          <w:p>
            <w:pPr>
              <w:pStyle w:val="TableContents"/>
              <w:bidi w:val="0"/>
              <w:spacing w:before="0" w:after="283"/>
              <w:jc w:val="right"/>
              <w:rPr/>
            </w:pPr>
            <w:r>
              <w:rPr/>
              <w:t>176</w:t>
            </w:r>
          </w:p>
        </w:tc>
        <w:tc>
          <w:tcPr>
            <w:tcW w:w="249" w:type="dxa"/>
            <w:tcBorders/>
            <w:shd w:fill="FFFFFF" w:val="clear"/>
            <w:vAlign w:val="center"/>
          </w:tcPr>
          <w:p>
            <w:pPr>
              <w:pStyle w:val="TableContents"/>
              <w:bidi w:val="0"/>
              <w:spacing w:before="0" w:after="283"/>
              <w:jc w:val="left"/>
              <w:rPr>
                <w:sz w:val="4"/>
                <w:szCs w:val="4"/>
              </w:rPr>
            </w:pPr>
            <w:r>
              <w:rPr>
                <w:sz w:val="4"/>
                <w:szCs w:val="4"/>
              </w:rPr>
            </w:r>
          </w:p>
        </w:tc>
      </w:tr>
      <w:tr>
        <w:trPr/>
        <w:tc>
          <w:tcPr>
            <w:tcW w:w="5315" w:type="dxa"/>
            <w:tcBorders/>
            <w:shd w:fill="CCEEFF" w:val="clear"/>
            <w:vAlign w:val="center"/>
          </w:tcPr>
          <w:p>
            <w:pPr>
              <w:pStyle w:val="TableContents"/>
              <w:bidi w:val="0"/>
              <w:spacing w:before="0" w:after="283"/>
              <w:jc w:val="left"/>
              <w:rPr/>
            </w:pPr>
            <w:r>
              <w:rPr/>
              <w:t>Prepaid and other current assets</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5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576" w:type="dxa"/>
            <w:tcBorders>
              <w:bottom w:val="single" w:sz="8" w:space="0" w:color="000000"/>
            </w:tcBorders>
            <w:shd w:fill="CCEEFF" w:val="clear"/>
            <w:tcMar>
              <w:bottom w:w="28" w:type="dxa"/>
            </w:tcMar>
            <w:vAlign w:val="center"/>
          </w:tcPr>
          <w:p>
            <w:pPr>
              <w:pStyle w:val="TableContents"/>
              <w:bidi w:val="0"/>
              <w:spacing w:before="0" w:after="283"/>
              <w:jc w:val="right"/>
              <w:rPr/>
            </w:pPr>
            <w:r>
              <w:rPr/>
              <w:t>943</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317"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987" w:type="dxa"/>
            <w:tcBorders>
              <w:bottom w:val="single" w:sz="8" w:space="0" w:color="000000"/>
            </w:tcBorders>
            <w:shd w:fill="CCEEFF" w:val="clear"/>
            <w:tcMar>
              <w:bottom w:w="28" w:type="dxa"/>
            </w:tcMar>
            <w:vAlign w:val="center"/>
          </w:tcPr>
          <w:p>
            <w:pPr>
              <w:pStyle w:val="TableContents"/>
              <w:bidi w:val="0"/>
              <w:spacing w:before="0" w:after="283"/>
              <w:jc w:val="right"/>
              <w:rPr/>
            </w:pPr>
            <w:r>
              <w:rPr/>
              <w:t>2,706</w:t>
            </w:r>
          </w:p>
        </w:tc>
        <w:tc>
          <w:tcPr>
            <w:tcW w:w="249" w:type="dxa"/>
            <w:tcBorders/>
            <w:shd w:fill="CCEEFF" w:val="clear"/>
            <w:vAlign w:val="center"/>
          </w:tcPr>
          <w:p>
            <w:pPr>
              <w:pStyle w:val="TableContents"/>
              <w:bidi w:val="0"/>
              <w:spacing w:before="0" w:after="283"/>
              <w:jc w:val="left"/>
              <w:rPr>
                <w:sz w:val="4"/>
                <w:szCs w:val="4"/>
              </w:rPr>
            </w:pPr>
            <w:r>
              <w:rPr>
                <w:sz w:val="4"/>
                <w:szCs w:val="4"/>
              </w:rPr>
            </w:r>
          </w:p>
        </w:tc>
      </w:tr>
      <w:tr>
        <w:trPr/>
        <w:tc>
          <w:tcPr>
            <w:tcW w:w="5315"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sz w:val="4"/>
                <w:szCs w:val="4"/>
              </w:rPr>
            </w:pPr>
            <w:r>
              <w:rPr>
                <w:sz w:val="4"/>
                <w:szCs w:val="4"/>
              </w:rPr>
            </w:r>
          </w:p>
        </w:tc>
        <w:tc>
          <w:tcPr>
            <w:tcW w:w="1576" w:type="dxa"/>
            <w:tcBorders/>
            <w:shd w:fill="FFFFFF" w:val="clear"/>
            <w:vAlign w:val="center"/>
          </w:tcPr>
          <w:p>
            <w:pPr>
              <w:pStyle w:val="TableContents"/>
              <w:bidi w:val="0"/>
              <w:spacing w:before="0" w:after="283"/>
              <w:jc w:val="right"/>
              <w:rPr/>
            </w:pPr>
            <w:r>
              <w:rPr/>
              <w:t>20,412</w:t>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sz w:val="4"/>
                <w:szCs w:val="4"/>
              </w:rPr>
            </w:pPr>
            <w:r>
              <w:rPr>
                <w:sz w:val="4"/>
                <w:szCs w:val="4"/>
              </w:rPr>
            </w:r>
          </w:p>
        </w:tc>
        <w:tc>
          <w:tcPr>
            <w:tcW w:w="1987" w:type="dxa"/>
            <w:tcBorders/>
            <w:shd w:fill="FFFFFF" w:val="clear"/>
            <w:vAlign w:val="center"/>
          </w:tcPr>
          <w:p>
            <w:pPr>
              <w:pStyle w:val="TableContents"/>
              <w:bidi w:val="0"/>
              <w:spacing w:before="0" w:after="283"/>
              <w:jc w:val="right"/>
              <w:rPr/>
            </w:pPr>
            <w:r>
              <w:rPr/>
              <w:t>25,171</w:t>
            </w:r>
          </w:p>
        </w:tc>
        <w:tc>
          <w:tcPr>
            <w:tcW w:w="249" w:type="dxa"/>
            <w:tcBorders/>
            <w:shd w:fill="FFFFFF" w:val="clear"/>
            <w:vAlign w:val="center"/>
          </w:tcPr>
          <w:p>
            <w:pPr>
              <w:pStyle w:val="TableContents"/>
              <w:bidi w:val="0"/>
              <w:spacing w:before="0" w:after="283"/>
              <w:jc w:val="left"/>
              <w:rPr>
                <w:sz w:val="4"/>
                <w:szCs w:val="4"/>
              </w:rPr>
            </w:pPr>
            <w:r>
              <w:rPr>
                <w:sz w:val="4"/>
                <w:szCs w:val="4"/>
              </w:rPr>
            </w:r>
          </w:p>
        </w:tc>
      </w:tr>
      <w:tr>
        <w:trPr/>
        <w:tc>
          <w:tcPr>
            <w:tcW w:w="5315" w:type="dxa"/>
            <w:tcBorders/>
            <w:shd w:fill="CCEEFF" w:val="clear"/>
            <w:vAlign w:val="center"/>
          </w:tcPr>
          <w:p>
            <w:pPr>
              <w:pStyle w:val="TableContents"/>
              <w:bidi w:val="0"/>
              <w:spacing w:before="0" w:after="283"/>
              <w:jc w:val="left"/>
              <w:rPr/>
            </w:pPr>
            <w:r>
              <w:rPr/>
              <w:t>Right-of-use assets</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sz w:val="4"/>
                <w:szCs w:val="4"/>
              </w:rPr>
            </w:pPr>
            <w:r>
              <w:rPr>
                <w:sz w:val="4"/>
                <w:szCs w:val="4"/>
              </w:rPr>
            </w:r>
          </w:p>
        </w:tc>
        <w:tc>
          <w:tcPr>
            <w:tcW w:w="1576" w:type="dxa"/>
            <w:tcBorders/>
            <w:shd w:fill="CCEEFF" w:val="clear"/>
            <w:vAlign w:val="center"/>
          </w:tcPr>
          <w:p>
            <w:pPr>
              <w:pStyle w:val="TableContents"/>
              <w:bidi w:val="0"/>
              <w:spacing w:before="0" w:after="283"/>
              <w:jc w:val="right"/>
              <w:rPr/>
            </w:pPr>
            <w:r>
              <w:rPr/>
              <w:t>549</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sz w:val="4"/>
                <w:szCs w:val="4"/>
              </w:rPr>
            </w:pPr>
            <w:r>
              <w:rPr>
                <w:sz w:val="4"/>
                <w:szCs w:val="4"/>
              </w:rPr>
            </w:r>
          </w:p>
        </w:tc>
        <w:tc>
          <w:tcPr>
            <w:tcW w:w="1987" w:type="dxa"/>
            <w:tcBorders/>
            <w:shd w:fill="CCEEFF" w:val="clear"/>
            <w:vAlign w:val="center"/>
          </w:tcPr>
          <w:p>
            <w:pPr>
              <w:pStyle w:val="TableContents"/>
              <w:bidi w:val="0"/>
              <w:spacing w:before="0" w:after="283"/>
              <w:jc w:val="right"/>
              <w:rPr/>
            </w:pPr>
            <w:r>
              <w:rPr/>
              <w:t>652</w:t>
            </w:r>
          </w:p>
        </w:tc>
        <w:tc>
          <w:tcPr>
            <w:tcW w:w="249" w:type="dxa"/>
            <w:tcBorders/>
            <w:shd w:fill="CCEEFF" w:val="clear"/>
            <w:vAlign w:val="center"/>
          </w:tcPr>
          <w:p>
            <w:pPr>
              <w:pStyle w:val="TableContents"/>
              <w:bidi w:val="0"/>
              <w:spacing w:before="0" w:after="283"/>
              <w:jc w:val="left"/>
              <w:rPr>
                <w:sz w:val="4"/>
                <w:szCs w:val="4"/>
              </w:rPr>
            </w:pPr>
            <w:r>
              <w:rPr>
                <w:sz w:val="4"/>
                <w:szCs w:val="4"/>
              </w:rPr>
            </w:r>
          </w:p>
        </w:tc>
      </w:tr>
      <w:tr>
        <w:trPr/>
        <w:tc>
          <w:tcPr>
            <w:tcW w:w="531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sz w:val="4"/>
                <w:szCs w:val="4"/>
              </w:rPr>
            </w:pPr>
            <w:r>
              <w:rPr>
                <w:sz w:val="4"/>
                <w:szCs w:val="4"/>
              </w:rPr>
            </w:r>
          </w:p>
        </w:tc>
        <w:tc>
          <w:tcPr>
            <w:tcW w:w="1576" w:type="dxa"/>
            <w:tcBorders/>
            <w:shd w:fill="FFFFFF" w:val="clear"/>
            <w:vAlign w:val="center"/>
          </w:tcPr>
          <w:p>
            <w:pPr>
              <w:pStyle w:val="TableContents"/>
              <w:bidi w:val="0"/>
              <w:spacing w:before="0" w:after="283"/>
              <w:jc w:val="right"/>
              <w:rPr/>
            </w:pPr>
            <w:r>
              <w:rPr/>
              <w:t>549</w:t>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sz w:val="4"/>
                <w:szCs w:val="4"/>
              </w:rPr>
            </w:pPr>
            <w:r>
              <w:rPr>
                <w:sz w:val="4"/>
                <w:szCs w:val="4"/>
              </w:rPr>
            </w:r>
          </w:p>
        </w:tc>
        <w:tc>
          <w:tcPr>
            <w:tcW w:w="1987" w:type="dxa"/>
            <w:tcBorders/>
            <w:shd w:fill="FFFFFF" w:val="clear"/>
            <w:vAlign w:val="center"/>
          </w:tcPr>
          <w:p>
            <w:pPr>
              <w:pStyle w:val="TableContents"/>
              <w:bidi w:val="0"/>
              <w:spacing w:before="0" w:after="283"/>
              <w:jc w:val="right"/>
              <w:rPr/>
            </w:pPr>
            <w:r>
              <w:rPr/>
              <w:t>605</w:t>
            </w:r>
          </w:p>
        </w:tc>
        <w:tc>
          <w:tcPr>
            <w:tcW w:w="249" w:type="dxa"/>
            <w:tcBorders/>
            <w:shd w:fill="FFFFFF" w:val="clear"/>
            <w:vAlign w:val="center"/>
          </w:tcPr>
          <w:p>
            <w:pPr>
              <w:pStyle w:val="TableContents"/>
              <w:bidi w:val="0"/>
              <w:spacing w:before="0" w:after="283"/>
              <w:jc w:val="left"/>
              <w:rPr>
                <w:sz w:val="4"/>
                <w:szCs w:val="4"/>
              </w:rPr>
            </w:pPr>
            <w:r>
              <w:rPr>
                <w:sz w:val="4"/>
                <w:szCs w:val="4"/>
              </w:rPr>
            </w:r>
          </w:p>
        </w:tc>
      </w:tr>
      <w:tr>
        <w:trPr/>
        <w:tc>
          <w:tcPr>
            <w:tcW w:w="5315" w:type="dxa"/>
            <w:tcBorders/>
            <w:shd w:fill="CCEEFF" w:val="clear"/>
            <w:vAlign w:val="center"/>
          </w:tcPr>
          <w:p>
            <w:pPr>
              <w:pStyle w:val="TableContents"/>
              <w:bidi w:val="0"/>
              <w:spacing w:before="0" w:after="283"/>
              <w:jc w:val="left"/>
              <w:rPr/>
            </w:pPr>
            <w:r>
              <w:rPr/>
              <w:t>Other noncurrent assets</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5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576" w:type="dxa"/>
            <w:tcBorders>
              <w:bottom w:val="single" w:sz="8" w:space="0" w:color="000000"/>
            </w:tcBorders>
            <w:shd w:fill="CCEEFF" w:val="clear"/>
            <w:tcMar>
              <w:bottom w:w="28" w:type="dxa"/>
            </w:tcMar>
            <w:vAlign w:val="center"/>
          </w:tcPr>
          <w:p>
            <w:pPr>
              <w:pStyle w:val="TableContents"/>
              <w:bidi w:val="0"/>
              <w:spacing w:before="0" w:after="283"/>
              <w:jc w:val="right"/>
              <w:rPr/>
            </w:pPr>
            <w:r>
              <w:rPr/>
              <w:t>592</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317"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987" w:type="dxa"/>
            <w:tcBorders>
              <w:bottom w:val="single" w:sz="8" w:space="0" w:color="000000"/>
            </w:tcBorders>
            <w:shd w:fill="CCEEFF" w:val="clear"/>
            <w:tcMar>
              <w:bottom w:w="28" w:type="dxa"/>
            </w:tcMar>
            <w:vAlign w:val="center"/>
          </w:tcPr>
          <w:p>
            <w:pPr>
              <w:pStyle w:val="TableContents"/>
              <w:bidi w:val="0"/>
              <w:spacing w:before="0" w:after="283"/>
              <w:jc w:val="right"/>
              <w:rPr/>
            </w:pPr>
            <w:r>
              <w:rPr/>
              <w:t>692</w:t>
            </w:r>
          </w:p>
        </w:tc>
        <w:tc>
          <w:tcPr>
            <w:tcW w:w="249" w:type="dxa"/>
            <w:tcBorders/>
            <w:shd w:fill="CCEEFF" w:val="clear"/>
            <w:vAlign w:val="center"/>
          </w:tcPr>
          <w:p>
            <w:pPr>
              <w:pStyle w:val="TableContents"/>
              <w:bidi w:val="0"/>
              <w:spacing w:before="0" w:after="283"/>
              <w:jc w:val="left"/>
              <w:rPr>
                <w:sz w:val="4"/>
                <w:szCs w:val="4"/>
              </w:rPr>
            </w:pPr>
            <w:r>
              <w:rPr>
                <w:sz w:val="4"/>
                <w:szCs w:val="4"/>
              </w:rPr>
            </w:r>
          </w:p>
        </w:tc>
      </w:tr>
      <w:tr>
        <w:trPr/>
        <w:tc>
          <w:tcPr>
            <w:tcW w:w="5315"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2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76" w:type="dxa"/>
            <w:tcBorders>
              <w:bottom w:val="double" w:sz="6" w:space="0" w:color="000000"/>
            </w:tcBorders>
            <w:shd w:fill="FFFFFF" w:val="clear"/>
            <w:tcMar>
              <w:bottom w:w="28" w:type="dxa"/>
            </w:tcMar>
            <w:vAlign w:val="center"/>
          </w:tcPr>
          <w:p>
            <w:pPr>
              <w:pStyle w:val="TableContents"/>
              <w:bidi w:val="0"/>
              <w:spacing w:before="0" w:after="283"/>
              <w:jc w:val="right"/>
              <w:rPr/>
            </w:pPr>
            <w:r>
              <w:rPr/>
              <w:t>22,102</w:t>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31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987" w:type="dxa"/>
            <w:tcBorders>
              <w:bottom w:val="double" w:sz="6" w:space="0" w:color="000000"/>
            </w:tcBorders>
            <w:shd w:fill="FFFFFF" w:val="clear"/>
            <w:tcMar>
              <w:bottom w:w="28" w:type="dxa"/>
            </w:tcMar>
            <w:vAlign w:val="center"/>
          </w:tcPr>
          <w:p>
            <w:pPr>
              <w:pStyle w:val="TableContents"/>
              <w:bidi w:val="0"/>
              <w:spacing w:before="0" w:after="283"/>
              <w:jc w:val="right"/>
              <w:rPr/>
            </w:pPr>
            <w:r>
              <w:rPr/>
              <w:t>27,120</w:t>
            </w:r>
          </w:p>
        </w:tc>
        <w:tc>
          <w:tcPr>
            <w:tcW w:w="249" w:type="dxa"/>
            <w:tcBorders/>
            <w:shd w:fill="FFFFFF" w:val="clear"/>
            <w:vAlign w:val="center"/>
          </w:tcPr>
          <w:p>
            <w:pPr>
              <w:pStyle w:val="TableContents"/>
              <w:bidi w:val="0"/>
              <w:spacing w:before="0" w:after="283"/>
              <w:jc w:val="left"/>
              <w:rPr>
                <w:sz w:val="4"/>
                <w:szCs w:val="4"/>
              </w:rPr>
            </w:pPr>
            <w:r>
              <w:rPr>
                <w:sz w:val="4"/>
                <w:szCs w:val="4"/>
              </w:rPr>
            </w:r>
          </w:p>
        </w:tc>
      </w:tr>
      <w:tr>
        <w:trPr/>
        <w:tc>
          <w:tcPr>
            <w:tcW w:w="5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sz w:val="4"/>
                <w:szCs w:val="4"/>
              </w:rPr>
            </w:pPr>
            <w:r>
              <w:rPr>
                <w:sz w:val="4"/>
                <w:szCs w:val="4"/>
              </w:rPr>
            </w:r>
          </w:p>
        </w:tc>
        <w:tc>
          <w:tcPr>
            <w:tcW w:w="1576"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sz w:val="4"/>
                <w:szCs w:val="4"/>
              </w:rPr>
            </w:pPr>
            <w:r>
              <w:rPr>
                <w:sz w:val="4"/>
                <w:szCs w:val="4"/>
              </w:rPr>
            </w:r>
          </w:p>
        </w:tc>
        <w:tc>
          <w:tcPr>
            <w:tcW w:w="1987" w:type="dxa"/>
            <w:tcBorders/>
            <w:shd w:fill="CCEEFF" w:val="clear"/>
            <w:vAlign w:val="center"/>
          </w:tcPr>
          <w:p>
            <w:pPr>
              <w:pStyle w:val="TableContents"/>
              <w:bidi w:val="0"/>
              <w:spacing w:before="0" w:after="283"/>
              <w:jc w:val="right"/>
              <w:rPr/>
            </w:pPr>
            <w:r>
              <w:rPr/>
              <w:t> </w:t>
            </w:r>
          </w:p>
        </w:tc>
        <w:tc>
          <w:tcPr>
            <w:tcW w:w="249" w:type="dxa"/>
            <w:tcBorders/>
            <w:shd w:fill="CCEEFF" w:val="clear"/>
            <w:vAlign w:val="center"/>
          </w:tcPr>
          <w:p>
            <w:pPr>
              <w:pStyle w:val="TableContents"/>
              <w:bidi w:val="0"/>
              <w:spacing w:before="0" w:after="283"/>
              <w:jc w:val="left"/>
              <w:rPr>
                <w:sz w:val="4"/>
                <w:szCs w:val="4"/>
              </w:rPr>
            </w:pPr>
            <w:r>
              <w:rPr>
                <w:sz w:val="4"/>
                <w:szCs w:val="4"/>
              </w:rPr>
            </w:r>
          </w:p>
        </w:tc>
      </w:tr>
      <w:tr>
        <w:trPr/>
        <w:tc>
          <w:tcPr>
            <w:tcW w:w="5315" w:type="dxa"/>
            <w:tcBorders/>
            <w:shd w:fill="FFFFFF" w:val="clear"/>
            <w:vAlign w:val="center"/>
          </w:tcPr>
          <w:p>
            <w:pPr>
              <w:pStyle w:val="TableContents"/>
              <w:bidi w:val="0"/>
              <w:spacing w:before="0" w:after="283"/>
              <w:jc w:val="left"/>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sz w:val="4"/>
                <w:szCs w:val="4"/>
              </w:rPr>
            </w:pPr>
            <w:r>
              <w:rPr>
                <w:sz w:val="4"/>
                <w:szCs w:val="4"/>
              </w:rPr>
            </w:r>
          </w:p>
        </w:tc>
        <w:tc>
          <w:tcPr>
            <w:tcW w:w="1576"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sz w:val="4"/>
                <w:szCs w:val="4"/>
              </w:rPr>
            </w:pPr>
            <w:r>
              <w:rPr>
                <w:sz w:val="4"/>
                <w:szCs w:val="4"/>
              </w:rPr>
            </w:r>
          </w:p>
        </w:tc>
        <w:tc>
          <w:tcPr>
            <w:tcW w:w="1987"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sz w:val="4"/>
                <w:szCs w:val="4"/>
              </w:rPr>
            </w:pPr>
            <w:r>
              <w:rPr>
                <w:sz w:val="4"/>
                <w:szCs w:val="4"/>
              </w:rPr>
            </w:r>
          </w:p>
        </w:tc>
      </w:tr>
      <w:tr>
        <w:trPr/>
        <w:tc>
          <w:tcPr>
            <w:tcW w:w="5315"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sz w:val="4"/>
                <w:szCs w:val="4"/>
              </w:rPr>
            </w:pPr>
            <w:r>
              <w:rPr>
                <w:sz w:val="4"/>
                <w:szCs w:val="4"/>
              </w:rPr>
            </w:r>
          </w:p>
        </w:tc>
        <w:tc>
          <w:tcPr>
            <w:tcW w:w="1576"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sz w:val="4"/>
                <w:szCs w:val="4"/>
              </w:rPr>
            </w:pPr>
            <w:r>
              <w:rPr>
                <w:sz w:val="4"/>
                <w:szCs w:val="4"/>
              </w:rPr>
            </w:r>
          </w:p>
        </w:tc>
        <w:tc>
          <w:tcPr>
            <w:tcW w:w="1987" w:type="dxa"/>
            <w:tcBorders/>
            <w:shd w:fill="CCEEFF" w:val="clear"/>
            <w:vAlign w:val="center"/>
          </w:tcPr>
          <w:p>
            <w:pPr>
              <w:pStyle w:val="TableContents"/>
              <w:bidi w:val="0"/>
              <w:spacing w:before="0" w:after="283"/>
              <w:jc w:val="right"/>
              <w:rPr/>
            </w:pPr>
            <w:r>
              <w:rPr/>
              <w:t> </w:t>
            </w:r>
          </w:p>
        </w:tc>
        <w:tc>
          <w:tcPr>
            <w:tcW w:w="249" w:type="dxa"/>
            <w:tcBorders/>
            <w:shd w:fill="CCEEFF" w:val="clear"/>
            <w:vAlign w:val="center"/>
          </w:tcPr>
          <w:p>
            <w:pPr>
              <w:pStyle w:val="TableContents"/>
              <w:bidi w:val="0"/>
              <w:spacing w:before="0" w:after="283"/>
              <w:jc w:val="left"/>
              <w:rPr>
                <w:sz w:val="4"/>
                <w:szCs w:val="4"/>
              </w:rPr>
            </w:pPr>
            <w:r>
              <w:rPr>
                <w:sz w:val="4"/>
                <w:szCs w:val="4"/>
              </w:rPr>
            </w:r>
          </w:p>
        </w:tc>
      </w:tr>
      <w:tr>
        <w:trPr/>
        <w:tc>
          <w:tcPr>
            <w:tcW w:w="531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w:t>
            </w:r>
          </w:p>
        </w:tc>
        <w:tc>
          <w:tcPr>
            <w:tcW w:w="1576" w:type="dxa"/>
            <w:tcBorders/>
            <w:shd w:fill="FFFFFF" w:val="clear"/>
            <w:vAlign w:val="center"/>
          </w:tcPr>
          <w:p>
            <w:pPr>
              <w:pStyle w:val="TableContents"/>
              <w:bidi w:val="0"/>
              <w:spacing w:before="0" w:after="283"/>
              <w:jc w:val="right"/>
              <w:rPr/>
            </w:pPr>
            <w:r>
              <w:rPr/>
              <w:t>5,473</w:t>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w:t>
            </w:r>
          </w:p>
        </w:tc>
        <w:tc>
          <w:tcPr>
            <w:tcW w:w="1987" w:type="dxa"/>
            <w:tcBorders/>
            <w:shd w:fill="FFFFFF" w:val="clear"/>
            <w:vAlign w:val="center"/>
          </w:tcPr>
          <w:p>
            <w:pPr>
              <w:pStyle w:val="TableContents"/>
              <w:bidi w:val="0"/>
              <w:spacing w:before="0" w:after="283"/>
              <w:jc w:val="right"/>
              <w:rPr/>
            </w:pPr>
            <w:r>
              <w:rPr/>
              <w:t>3,598</w:t>
            </w:r>
          </w:p>
        </w:tc>
        <w:tc>
          <w:tcPr>
            <w:tcW w:w="249" w:type="dxa"/>
            <w:tcBorders/>
            <w:shd w:fill="FFFFFF" w:val="clear"/>
            <w:vAlign w:val="center"/>
          </w:tcPr>
          <w:p>
            <w:pPr>
              <w:pStyle w:val="TableContents"/>
              <w:bidi w:val="0"/>
              <w:spacing w:before="0" w:after="283"/>
              <w:jc w:val="left"/>
              <w:rPr>
                <w:sz w:val="4"/>
                <w:szCs w:val="4"/>
              </w:rPr>
            </w:pPr>
            <w:r>
              <w:rPr>
                <w:sz w:val="4"/>
                <w:szCs w:val="4"/>
              </w:rPr>
            </w:r>
          </w:p>
        </w:tc>
      </w:tr>
      <w:tr>
        <w:trPr/>
        <w:tc>
          <w:tcPr>
            <w:tcW w:w="5315"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sz w:val="4"/>
                <w:szCs w:val="4"/>
              </w:rPr>
            </w:pPr>
            <w:r>
              <w:rPr>
                <w:sz w:val="4"/>
                <w:szCs w:val="4"/>
              </w:rPr>
            </w:r>
          </w:p>
        </w:tc>
        <w:tc>
          <w:tcPr>
            <w:tcW w:w="1576" w:type="dxa"/>
            <w:tcBorders/>
            <w:shd w:fill="CCEEFF" w:val="clear"/>
            <w:vAlign w:val="center"/>
          </w:tcPr>
          <w:p>
            <w:pPr>
              <w:pStyle w:val="TableContents"/>
              <w:bidi w:val="0"/>
              <w:spacing w:before="0" w:after="283"/>
              <w:jc w:val="right"/>
              <w:rPr/>
            </w:pPr>
            <w:r>
              <w:rPr/>
              <w:t>3,117</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sz w:val="4"/>
                <w:szCs w:val="4"/>
              </w:rPr>
            </w:pPr>
            <w:r>
              <w:rPr>
                <w:sz w:val="4"/>
                <w:szCs w:val="4"/>
              </w:rPr>
            </w:r>
          </w:p>
        </w:tc>
        <w:tc>
          <w:tcPr>
            <w:tcW w:w="1987" w:type="dxa"/>
            <w:tcBorders/>
            <w:shd w:fill="CCEEFF" w:val="clear"/>
            <w:vAlign w:val="center"/>
          </w:tcPr>
          <w:p>
            <w:pPr>
              <w:pStyle w:val="TableContents"/>
              <w:bidi w:val="0"/>
              <w:spacing w:before="0" w:after="283"/>
              <w:jc w:val="right"/>
              <w:rPr/>
            </w:pPr>
            <w:r>
              <w:rPr/>
              <w:t>7,709</w:t>
            </w:r>
          </w:p>
        </w:tc>
        <w:tc>
          <w:tcPr>
            <w:tcW w:w="249" w:type="dxa"/>
            <w:tcBorders/>
            <w:shd w:fill="CCEEFF" w:val="clear"/>
            <w:vAlign w:val="center"/>
          </w:tcPr>
          <w:p>
            <w:pPr>
              <w:pStyle w:val="TableContents"/>
              <w:bidi w:val="0"/>
              <w:spacing w:before="0" w:after="283"/>
              <w:jc w:val="left"/>
              <w:rPr>
                <w:sz w:val="4"/>
                <w:szCs w:val="4"/>
              </w:rPr>
            </w:pPr>
            <w:r>
              <w:rPr>
                <w:sz w:val="4"/>
                <w:szCs w:val="4"/>
              </w:rPr>
            </w:r>
          </w:p>
        </w:tc>
      </w:tr>
      <w:tr>
        <w:trPr/>
        <w:tc>
          <w:tcPr>
            <w:tcW w:w="5315" w:type="dxa"/>
            <w:tcBorders/>
            <w:shd w:fill="FFFFFF" w:val="clear"/>
            <w:vAlign w:val="center"/>
          </w:tcPr>
          <w:p>
            <w:pPr>
              <w:pStyle w:val="TableContents"/>
              <w:bidi w:val="0"/>
              <w:spacing w:before="0" w:after="283"/>
              <w:jc w:val="left"/>
              <w:rPr/>
            </w:pPr>
            <w:r>
              <w:rPr/>
              <w:t>Convertible note, current</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252"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576" w:type="dxa"/>
            <w:tcBorders>
              <w:bottom w:val="single" w:sz="8" w:space="0" w:color="000000"/>
            </w:tcBorders>
            <w:shd w:fill="FFFFFF" w:val="clear"/>
            <w:tcMar>
              <w:bottom w:w="28" w:type="dxa"/>
            </w:tcMar>
            <w:vAlign w:val="center"/>
          </w:tcPr>
          <w:p>
            <w:pPr>
              <w:pStyle w:val="TableContents"/>
              <w:bidi w:val="0"/>
              <w:spacing w:before="0" w:after="283"/>
              <w:jc w:val="right"/>
              <w:rPr/>
            </w:pPr>
            <w:r>
              <w:rPr/>
              <w:t>1,997</w:t>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317"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98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sz w:val="4"/>
                <w:szCs w:val="4"/>
              </w:rPr>
            </w:pPr>
            <w:r>
              <w:rPr>
                <w:sz w:val="4"/>
                <w:szCs w:val="4"/>
              </w:rPr>
            </w:r>
          </w:p>
        </w:tc>
      </w:tr>
      <w:tr>
        <w:trPr/>
        <w:tc>
          <w:tcPr>
            <w:tcW w:w="5315"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sz w:val="4"/>
                <w:szCs w:val="4"/>
              </w:rPr>
            </w:pPr>
            <w:r>
              <w:rPr>
                <w:sz w:val="4"/>
                <w:szCs w:val="4"/>
              </w:rPr>
            </w:r>
          </w:p>
        </w:tc>
        <w:tc>
          <w:tcPr>
            <w:tcW w:w="1576" w:type="dxa"/>
            <w:tcBorders/>
            <w:shd w:fill="CCEEFF" w:val="clear"/>
            <w:vAlign w:val="center"/>
          </w:tcPr>
          <w:p>
            <w:pPr>
              <w:pStyle w:val="TableContents"/>
              <w:bidi w:val="0"/>
              <w:spacing w:before="0" w:after="283"/>
              <w:jc w:val="right"/>
              <w:rPr/>
            </w:pPr>
            <w:r>
              <w:rPr/>
              <w:t>10,587</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sz w:val="4"/>
                <w:szCs w:val="4"/>
              </w:rPr>
            </w:pPr>
            <w:r>
              <w:rPr>
                <w:sz w:val="4"/>
                <w:szCs w:val="4"/>
              </w:rPr>
            </w:r>
          </w:p>
        </w:tc>
        <w:tc>
          <w:tcPr>
            <w:tcW w:w="1987" w:type="dxa"/>
            <w:tcBorders/>
            <w:shd w:fill="CCEEFF" w:val="clear"/>
            <w:vAlign w:val="center"/>
          </w:tcPr>
          <w:p>
            <w:pPr>
              <w:pStyle w:val="TableContents"/>
              <w:bidi w:val="0"/>
              <w:spacing w:before="0" w:after="283"/>
              <w:jc w:val="right"/>
              <w:rPr/>
            </w:pPr>
            <w:r>
              <w:rPr/>
              <w:t>11,307</w:t>
            </w:r>
          </w:p>
        </w:tc>
        <w:tc>
          <w:tcPr>
            <w:tcW w:w="249" w:type="dxa"/>
            <w:tcBorders/>
            <w:shd w:fill="CCEEFF" w:val="clear"/>
            <w:vAlign w:val="center"/>
          </w:tcPr>
          <w:p>
            <w:pPr>
              <w:pStyle w:val="TableContents"/>
              <w:bidi w:val="0"/>
              <w:spacing w:before="0" w:after="283"/>
              <w:jc w:val="left"/>
              <w:rPr>
                <w:sz w:val="4"/>
                <w:szCs w:val="4"/>
              </w:rPr>
            </w:pPr>
            <w:r>
              <w:rPr>
                <w:sz w:val="4"/>
                <w:szCs w:val="4"/>
              </w:rPr>
            </w:r>
          </w:p>
        </w:tc>
      </w:tr>
      <w:tr>
        <w:trPr/>
        <w:tc>
          <w:tcPr>
            <w:tcW w:w="5315" w:type="dxa"/>
            <w:tcBorders/>
            <w:shd w:fill="FFFFFF" w:val="clear"/>
            <w:vAlign w:val="center"/>
          </w:tcPr>
          <w:p>
            <w:pPr>
              <w:pStyle w:val="TableContents"/>
              <w:bidi w:val="0"/>
              <w:spacing w:before="0" w:after="283"/>
              <w:jc w:val="left"/>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sz w:val="4"/>
                <w:szCs w:val="4"/>
              </w:rPr>
            </w:pPr>
            <w:r>
              <w:rPr>
                <w:sz w:val="4"/>
                <w:szCs w:val="4"/>
              </w:rPr>
            </w:r>
          </w:p>
        </w:tc>
        <w:tc>
          <w:tcPr>
            <w:tcW w:w="1576" w:type="dxa"/>
            <w:tcBorders/>
            <w:shd w:fill="FFFFFF" w:val="clear"/>
            <w:vAlign w:val="center"/>
          </w:tcPr>
          <w:p>
            <w:pPr>
              <w:pStyle w:val="TableContents"/>
              <w:bidi w:val="0"/>
              <w:spacing w:before="0" w:after="283"/>
              <w:jc w:val="right"/>
              <w:rPr/>
            </w:pPr>
            <w:r>
              <w:rPr/>
              <w:t>361</w:t>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sz w:val="4"/>
                <w:szCs w:val="4"/>
              </w:rPr>
            </w:pPr>
            <w:r>
              <w:rPr>
                <w:sz w:val="4"/>
                <w:szCs w:val="4"/>
              </w:rPr>
            </w:r>
          </w:p>
        </w:tc>
        <w:tc>
          <w:tcPr>
            <w:tcW w:w="1987" w:type="dxa"/>
            <w:tcBorders/>
            <w:shd w:fill="FFFFFF" w:val="clear"/>
            <w:vAlign w:val="center"/>
          </w:tcPr>
          <w:p>
            <w:pPr>
              <w:pStyle w:val="TableContents"/>
              <w:bidi w:val="0"/>
              <w:spacing w:before="0" w:after="283"/>
              <w:jc w:val="right"/>
              <w:rPr/>
            </w:pPr>
            <w:r>
              <w:rPr/>
              <w:t>479</w:t>
            </w:r>
          </w:p>
        </w:tc>
        <w:tc>
          <w:tcPr>
            <w:tcW w:w="249" w:type="dxa"/>
            <w:tcBorders/>
            <w:shd w:fill="FFFFFF" w:val="clear"/>
            <w:vAlign w:val="center"/>
          </w:tcPr>
          <w:p>
            <w:pPr>
              <w:pStyle w:val="TableContents"/>
              <w:bidi w:val="0"/>
              <w:spacing w:before="0" w:after="283"/>
              <w:jc w:val="left"/>
              <w:rPr>
                <w:sz w:val="4"/>
                <w:szCs w:val="4"/>
              </w:rPr>
            </w:pPr>
            <w:r>
              <w:rPr>
                <w:sz w:val="4"/>
                <w:szCs w:val="4"/>
              </w:rPr>
            </w:r>
          </w:p>
        </w:tc>
      </w:tr>
      <w:tr>
        <w:trPr/>
        <w:tc>
          <w:tcPr>
            <w:tcW w:w="5315" w:type="dxa"/>
            <w:tcBorders/>
            <w:shd w:fill="CCEEFF" w:val="clear"/>
            <w:vAlign w:val="center"/>
          </w:tcPr>
          <w:p>
            <w:pPr>
              <w:pStyle w:val="TableContents"/>
              <w:bidi w:val="0"/>
              <w:spacing w:before="0" w:after="283"/>
              <w:jc w:val="left"/>
              <w:rPr/>
            </w:pPr>
            <w:r>
              <w:rPr/>
              <w:t>Convertible note, noncurrent</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sz w:val="4"/>
                <w:szCs w:val="4"/>
              </w:rPr>
            </w:pPr>
            <w:r>
              <w:rPr>
                <w:sz w:val="4"/>
                <w:szCs w:val="4"/>
              </w:rPr>
            </w:r>
          </w:p>
        </w:tc>
        <w:tc>
          <w:tcPr>
            <w:tcW w:w="1576" w:type="dxa"/>
            <w:tcBorders/>
            <w:shd w:fill="CCEEFF" w:val="clear"/>
            <w:vAlign w:val="center"/>
          </w:tcPr>
          <w:p>
            <w:pPr>
              <w:pStyle w:val="TableContents"/>
              <w:bidi w:val="0"/>
              <w:spacing w:before="0" w:after="283"/>
              <w:jc w:val="right"/>
              <w:rPr/>
            </w:pPr>
            <w:r>
              <w:rPr/>
              <w:t>146</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sz w:val="4"/>
                <w:szCs w:val="4"/>
              </w:rPr>
            </w:pPr>
            <w:r>
              <w:rPr>
                <w:sz w:val="4"/>
                <w:szCs w:val="4"/>
              </w:rPr>
            </w:r>
          </w:p>
        </w:tc>
        <w:tc>
          <w:tcPr>
            <w:tcW w:w="1987" w:type="dxa"/>
            <w:tcBorders/>
            <w:shd w:fill="CCEEFF" w:val="clear"/>
            <w:vAlign w:val="center"/>
          </w:tcPr>
          <w:p>
            <w:pPr>
              <w:pStyle w:val="TableContents"/>
              <w:bidi w:val="0"/>
              <w:spacing w:before="0" w:after="283"/>
              <w:jc w:val="right"/>
              <w:rPr/>
            </w:pPr>
            <w:r>
              <w:rPr/>
              <w:t>146</w:t>
            </w:r>
          </w:p>
        </w:tc>
        <w:tc>
          <w:tcPr>
            <w:tcW w:w="249" w:type="dxa"/>
            <w:tcBorders/>
            <w:shd w:fill="CCEEFF" w:val="clear"/>
            <w:vAlign w:val="center"/>
          </w:tcPr>
          <w:p>
            <w:pPr>
              <w:pStyle w:val="TableContents"/>
              <w:bidi w:val="0"/>
              <w:spacing w:before="0" w:after="283"/>
              <w:jc w:val="left"/>
              <w:rPr>
                <w:sz w:val="4"/>
                <w:szCs w:val="4"/>
              </w:rPr>
            </w:pPr>
            <w:r>
              <w:rPr>
                <w:sz w:val="4"/>
                <w:szCs w:val="4"/>
              </w:rPr>
            </w:r>
          </w:p>
        </w:tc>
      </w:tr>
      <w:tr>
        <w:trPr/>
        <w:tc>
          <w:tcPr>
            <w:tcW w:w="5315" w:type="dxa"/>
            <w:tcBorders/>
            <w:shd w:fill="FFFFFF" w:val="clear"/>
            <w:vAlign w:val="center"/>
          </w:tcPr>
          <w:p>
            <w:pPr>
              <w:pStyle w:val="TableContents"/>
              <w:bidi w:val="0"/>
              <w:spacing w:before="0" w:after="283"/>
              <w:jc w:val="left"/>
              <w:rPr/>
            </w:pPr>
            <w:r>
              <w:rPr/>
              <w:t>Other noncurrent liabilities</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252"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576" w:type="dxa"/>
            <w:tcBorders>
              <w:bottom w:val="single" w:sz="8" w:space="0" w:color="000000"/>
            </w:tcBorders>
            <w:shd w:fill="FFFFFF" w:val="clear"/>
            <w:tcMar>
              <w:bottom w:w="28" w:type="dxa"/>
            </w:tcMar>
            <w:vAlign w:val="center"/>
          </w:tcPr>
          <w:p>
            <w:pPr>
              <w:pStyle w:val="TableContents"/>
              <w:bidi w:val="0"/>
              <w:spacing w:before="0" w:after="283"/>
              <w:jc w:val="right"/>
              <w:rPr/>
            </w:pPr>
            <w:r>
              <w:rPr/>
              <w:t>826</w:t>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317"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987" w:type="dxa"/>
            <w:tcBorders>
              <w:bottom w:val="single" w:sz="8" w:space="0" w:color="000000"/>
            </w:tcBorders>
            <w:shd w:fill="FFFFFF" w:val="clear"/>
            <w:tcMar>
              <w:bottom w:w="28" w:type="dxa"/>
            </w:tcMar>
            <w:vAlign w:val="center"/>
          </w:tcPr>
          <w:p>
            <w:pPr>
              <w:pStyle w:val="TableContents"/>
              <w:bidi w:val="0"/>
              <w:spacing w:before="0" w:after="283"/>
              <w:jc w:val="right"/>
              <w:rPr/>
            </w:pPr>
            <w:r>
              <w:rPr/>
              <w:t>64</w:t>
            </w:r>
          </w:p>
        </w:tc>
        <w:tc>
          <w:tcPr>
            <w:tcW w:w="249" w:type="dxa"/>
            <w:tcBorders/>
            <w:shd w:fill="FFFFFF" w:val="clear"/>
            <w:vAlign w:val="center"/>
          </w:tcPr>
          <w:p>
            <w:pPr>
              <w:pStyle w:val="TableContents"/>
              <w:bidi w:val="0"/>
              <w:spacing w:before="0" w:after="283"/>
              <w:jc w:val="left"/>
              <w:rPr>
                <w:sz w:val="4"/>
                <w:szCs w:val="4"/>
              </w:rPr>
            </w:pPr>
            <w:r>
              <w:rPr>
                <w:sz w:val="4"/>
                <w:szCs w:val="4"/>
              </w:rPr>
            </w:r>
          </w:p>
        </w:tc>
      </w:tr>
      <w:tr>
        <w:trPr/>
        <w:tc>
          <w:tcPr>
            <w:tcW w:w="5315"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5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576" w:type="dxa"/>
            <w:tcBorders>
              <w:bottom w:val="single" w:sz="8" w:space="0" w:color="000000"/>
            </w:tcBorders>
            <w:shd w:fill="CCEEFF" w:val="clear"/>
            <w:tcMar>
              <w:bottom w:w="28" w:type="dxa"/>
            </w:tcMar>
            <w:vAlign w:val="center"/>
          </w:tcPr>
          <w:p>
            <w:pPr>
              <w:pStyle w:val="TableContents"/>
              <w:bidi w:val="0"/>
              <w:spacing w:before="0" w:after="283"/>
              <w:jc w:val="right"/>
              <w:rPr/>
            </w:pPr>
            <w:r>
              <w:rPr/>
              <w:t>11,920</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317"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987" w:type="dxa"/>
            <w:tcBorders>
              <w:bottom w:val="single" w:sz="8" w:space="0" w:color="000000"/>
            </w:tcBorders>
            <w:shd w:fill="CCEEFF" w:val="clear"/>
            <w:tcMar>
              <w:bottom w:w="28" w:type="dxa"/>
            </w:tcMar>
            <w:vAlign w:val="center"/>
          </w:tcPr>
          <w:p>
            <w:pPr>
              <w:pStyle w:val="TableContents"/>
              <w:bidi w:val="0"/>
              <w:spacing w:before="0" w:after="283"/>
              <w:jc w:val="right"/>
              <w:rPr/>
            </w:pPr>
            <w:r>
              <w:rPr/>
              <w:t>11,996</w:t>
            </w:r>
          </w:p>
        </w:tc>
        <w:tc>
          <w:tcPr>
            <w:tcW w:w="249" w:type="dxa"/>
            <w:tcBorders/>
            <w:shd w:fill="CCEEFF" w:val="clear"/>
            <w:vAlign w:val="center"/>
          </w:tcPr>
          <w:p>
            <w:pPr>
              <w:pStyle w:val="TableContents"/>
              <w:bidi w:val="0"/>
              <w:spacing w:before="0" w:after="283"/>
              <w:jc w:val="left"/>
              <w:rPr>
                <w:sz w:val="4"/>
                <w:szCs w:val="4"/>
              </w:rPr>
            </w:pPr>
            <w:r>
              <w:rPr>
                <w:sz w:val="4"/>
                <w:szCs w:val="4"/>
              </w:rPr>
            </w:r>
          </w:p>
        </w:tc>
      </w:tr>
      <w:tr>
        <w:trPr/>
        <w:tc>
          <w:tcPr>
            <w:tcW w:w="5315" w:type="dxa"/>
            <w:tcBorders/>
            <w:shd w:fill="FFFFFF" w:val="clear"/>
            <w:vAlign w:val="center"/>
          </w:tcPr>
          <w:p>
            <w:pPr>
              <w:pStyle w:val="TableContents"/>
              <w:bidi w:val="0"/>
              <w:spacing w:before="0" w:after="283"/>
              <w:jc w:val="left"/>
              <w:rPr>
                <w:b/>
              </w:rPr>
            </w:pPr>
            <w:r>
              <w:rPr>
                <w:b/>
              </w:rPr>
              <w:t>Stockholders’ Equity:</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sz w:val="4"/>
                <w:szCs w:val="4"/>
              </w:rPr>
            </w:pPr>
            <w:r>
              <w:rPr>
                <w:sz w:val="4"/>
                <w:szCs w:val="4"/>
              </w:rPr>
            </w:r>
          </w:p>
        </w:tc>
        <w:tc>
          <w:tcPr>
            <w:tcW w:w="1576"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sz w:val="4"/>
                <w:szCs w:val="4"/>
              </w:rPr>
            </w:pPr>
            <w:r>
              <w:rPr>
                <w:sz w:val="4"/>
                <w:szCs w:val="4"/>
              </w:rPr>
            </w:r>
          </w:p>
        </w:tc>
        <w:tc>
          <w:tcPr>
            <w:tcW w:w="1987"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sz w:val="4"/>
                <w:szCs w:val="4"/>
              </w:rPr>
            </w:pPr>
            <w:r>
              <w:rPr>
                <w:sz w:val="4"/>
                <w:szCs w:val="4"/>
              </w:rPr>
            </w:r>
          </w:p>
        </w:tc>
      </w:tr>
      <w:tr>
        <w:trPr/>
        <w:tc>
          <w:tcPr>
            <w:tcW w:w="5315" w:type="dxa"/>
            <w:tcBorders/>
            <w:shd w:fill="CCEEFF" w:val="clear"/>
            <w:vAlign w:val="center"/>
          </w:tcPr>
          <w:p>
            <w:pPr>
              <w:pStyle w:val="TableContents"/>
              <w:bidi w:val="0"/>
              <w:spacing w:before="0" w:after="283"/>
              <w:jc w:val="left"/>
              <w:rPr/>
            </w:pPr>
            <w:r>
              <w:rPr/>
              <w:t>Preferred stock</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sz w:val="4"/>
                <w:szCs w:val="4"/>
              </w:rPr>
            </w:pPr>
            <w:r>
              <w:rPr>
                <w:sz w:val="4"/>
                <w:szCs w:val="4"/>
              </w:rPr>
            </w:r>
          </w:p>
        </w:tc>
        <w:tc>
          <w:tcPr>
            <w:tcW w:w="1576"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sz w:val="4"/>
                <w:szCs w:val="4"/>
              </w:rPr>
            </w:pPr>
            <w:r>
              <w:rPr>
                <w:sz w:val="4"/>
                <w:szCs w:val="4"/>
              </w:rPr>
            </w:r>
          </w:p>
        </w:tc>
        <w:tc>
          <w:tcPr>
            <w:tcW w:w="1987" w:type="dxa"/>
            <w:tcBorders/>
            <w:shd w:fill="CCEEFF" w:val="clear"/>
            <w:vAlign w:val="center"/>
          </w:tcPr>
          <w:p>
            <w:pPr>
              <w:pStyle w:val="TableContents"/>
              <w:bidi w:val="0"/>
              <w:spacing w:before="0" w:after="283"/>
              <w:jc w:val="right"/>
              <w:rPr/>
            </w:pPr>
            <w:r>
              <w:rPr/>
              <w:t>—  </w:t>
            </w:r>
          </w:p>
        </w:tc>
        <w:tc>
          <w:tcPr>
            <w:tcW w:w="249" w:type="dxa"/>
            <w:tcBorders/>
            <w:shd w:fill="CCEEFF" w:val="clear"/>
            <w:vAlign w:val="center"/>
          </w:tcPr>
          <w:p>
            <w:pPr>
              <w:pStyle w:val="TableContents"/>
              <w:bidi w:val="0"/>
              <w:spacing w:before="0" w:after="283"/>
              <w:jc w:val="left"/>
              <w:rPr>
                <w:sz w:val="4"/>
                <w:szCs w:val="4"/>
              </w:rPr>
            </w:pPr>
            <w:r>
              <w:rPr>
                <w:sz w:val="4"/>
                <w:szCs w:val="4"/>
              </w:rPr>
            </w:r>
          </w:p>
        </w:tc>
      </w:tr>
      <w:tr>
        <w:trPr/>
        <w:tc>
          <w:tcPr>
            <w:tcW w:w="5315" w:type="dxa"/>
            <w:tcBorders/>
            <w:shd w:fill="FFFFFF" w:val="clear"/>
            <w:vAlign w:val="center"/>
          </w:tcPr>
          <w:p>
            <w:pPr>
              <w:pStyle w:val="TableContents"/>
              <w:bidi w:val="0"/>
              <w:spacing w:before="0" w:after="283"/>
              <w:jc w:val="left"/>
              <w:rPr/>
            </w:pPr>
            <w:r>
              <w:rPr/>
              <w:t>Common stock</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sz w:val="4"/>
                <w:szCs w:val="4"/>
              </w:rPr>
            </w:pPr>
            <w:r>
              <w:rPr>
                <w:sz w:val="4"/>
                <w:szCs w:val="4"/>
              </w:rPr>
            </w:r>
          </w:p>
        </w:tc>
        <w:tc>
          <w:tcPr>
            <w:tcW w:w="1576" w:type="dxa"/>
            <w:tcBorders/>
            <w:shd w:fill="FFFFFF" w:val="clear"/>
            <w:vAlign w:val="center"/>
          </w:tcPr>
          <w:p>
            <w:pPr>
              <w:pStyle w:val="TableContents"/>
              <w:bidi w:val="0"/>
              <w:spacing w:before="0" w:after="283"/>
              <w:jc w:val="right"/>
              <w:rPr/>
            </w:pPr>
            <w:r>
              <w:rPr/>
              <w:t>2</w:t>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sz w:val="4"/>
                <w:szCs w:val="4"/>
              </w:rPr>
            </w:pPr>
            <w:r>
              <w:rPr>
                <w:sz w:val="4"/>
                <w:szCs w:val="4"/>
              </w:rPr>
            </w:r>
          </w:p>
        </w:tc>
        <w:tc>
          <w:tcPr>
            <w:tcW w:w="1987" w:type="dxa"/>
            <w:tcBorders/>
            <w:shd w:fill="FFFFFF" w:val="clear"/>
            <w:vAlign w:val="center"/>
          </w:tcPr>
          <w:p>
            <w:pPr>
              <w:pStyle w:val="TableContents"/>
              <w:bidi w:val="0"/>
              <w:spacing w:before="0" w:after="283"/>
              <w:jc w:val="right"/>
              <w:rPr/>
            </w:pPr>
            <w:r>
              <w:rPr/>
              <w:t>1</w:t>
            </w:r>
          </w:p>
        </w:tc>
        <w:tc>
          <w:tcPr>
            <w:tcW w:w="249" w:type="dxa"/>
            <w:tcBorders/>
            <w:shd w:fill="FFFFFF" w:val="clear"/>
            <w:vAlign w:val="center"/>
          </w:tcPr>
          <w:p>
            <w:pPr>
              <w:pStyle w:val="TableContents"/>
              <w:bidi w:val="0"/>
              <w:spacing w:before="0" w:after="283"/>
              <w:jc w:val="left"/>
              <w:rPr>
                <w:sz w:val="4"/>
                <w:szCs w:val="4"/>
              </w:rPr>
            </w:pPr>
            <w:r>
              <w:rPr>
                <w:sz w:val="4"/>
                <w:szCs w:val="4"/>
              </w:rPr>
            </w:r>
          </w:p>
        </w:tc>
      </w:tr>
      <w:tr>
        <w:trPr/>
        <w:tc>
          <w:tcPr>
            <w:tcW w:w="5315"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sz w:val="4"/>
                <w:szCs w:val="4"/>
              </w:rPr>
            </w:pPr>
            <w:r>
              <w:rPr>
                <w:sz w:val="4"/>
                <w:szCs w:val="4"/>
              </w:rPr>
            </w:r>
          </w:p>
        </w:tc>
        <w:tc>
          <w:tcPr>
            <w:tcW w:w="1576" w:type="dxa"/>
            <w:tcBorders/>
            <w:shd w:fill="CCEEFF" w:val="clear"/>
            <w:vAlign w:val="center"/>
          </w:tcPr>
          <w:p>
            <w:pPr>
              <w:pStyle w:val="TableContents"/>
              <w:bidi w:val="0"/>
              <w:spacing w:before="0" w:after="283"/>
              <w:jc w:val="right"/>
              <w:rPr/>
            </w:pPr>
            <w:r>
              <w:rPr/>
              <w:t>400,561</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sz w:val="4"/>
                <w:szCs w:val="4"/>
              </w:rPr>
            </w:pPr>
            <w:r>
              <w:rPr>
                <w:sz w:val="4"/>
                <w:szCs w:val="4"/>
              </w:rPr>
            </w:r>
          </w:p>
        </w:tc>
        <w:tc>
          <w:tcPr>
            <w:tcW w:w="1987" w:type="dxa"/>
            <w:tcBorders/>
            <w:shd w:fill="CCEEFF" w:val="clear"/>
            <w:vAlign w:val="center"/>
          </w:tcPr>
          <w:p>
            <w:pPr>
              <w:pStyle w:val="TableContents"/>
              <w:bidi w:val="0"/>
              <w:spacing w:before="0" w:after="283"/>
              <w:jc w:val="right"/>
              <w:rPr/>
            </w:pPr>
            <w:r>
              <w:rPr/>
              <w:t>388,213</w:t>
            </w:r>
          </w:p>
        </w:tc>
        <w:tc>
          <w:tcPr>
            <w:tcW w:w="249" w:type="dxa"/>
            <w:tcBorders/>
            <w:shd w:fill="CCEEFF" w:val="clear"/>
            <w:vAlign w:val="center"/>
          </w:tcPr>
          <w:p>
            <w:pPr>
              <w:pStyle w:val="TableContents"/>
              <w:bidi w:val="0"/>
              <w:spacing w:before="0" w:after="283"/>
              <w:jc w:val="left"/>
              <w:rPr>
                <w:sz w:val="4"/>
                <w:szCs w:val="4"/>
              </w:rPr>
            </w:pPr>
            <w:r>
              <w:rPr>
                <w:sz w:val="4"/>
                <w:szCs w:val="4"/>
              </w:rPr>
            </w:r>
          </w:p>
        </w:tc>
      </w:tr>
      <w:tr>
        <w:trPr/>
        <w:tc>
          <w:tcPr>
            <w:tcW w:w="5315" w:type="dxa"/>
            <w:tcBorders/>
            <w:shd w:fill="FFFFFF" w:val="clear"/>
            <w:vAlign w:val="center"/>
          </w:tcPr>
          <w:p>
            <w:pPr>
              <w:pStyle w:val="TableContents"/>
              <w:bidi w:val="0"/>
              <w:spacing w:before="0" w:after="283"/>
              <w:jc w:val="left"/>
              <w:rPr/>
            </w:pPr>
            <w:r>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sz w:val="4"/>
                <w:szCs w:val="4"/>
              </w:rPr>
            </w:pPr>
            <w:r>
              <w:rPr>
                <w:sz w:val="4"/>
                <w:szCs w:val="4"/>
              </w:rPr>
            </w:r>
          </w:p>
        </w:tc>
        <w:tc>
          <w:tcPr>
            <w:tcW w:w="1576"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sz w:val="4"/>
                <w:szCs w:val="4"/>
              </w:rPr>
            </w:pPr>
            <w:r>
              <w:rPr>
                <w:sz w:val="4"/>
                <w:szCs w:val="4"/>
              </w:rPr>
            </w:r>
          </w:p>
        </w:tc>
        <w:tc>
          <w:tcPr>
            <w:tcW w:w="1987" w:type="dxa"/>
            <w:tcBorders/>
            <w:shd w:fill="FFFFFF" w:val="clear"/>
            <w:vAlign w:val="center"/>
          </w:tcPr>
          <w:p>
            <w:pPr>
              <w:pStyle w:val="TableContents"/>
              <w:bidi w:val="0"/>
              <w:spacing w:before="0" w:after="283"/>
              <w:jc w:val="right"/>
              <w:rPr/>
            </w:pPr>
            <w:r>
              <w:rPr/>
              <w:t>5</w:t>
            </w:r>
          </w:p>
        </w:tc>
        <w:tc>
          <w:tcPr>
            <w:tcW w:w="249" w:type="dxa"/>
            <w:tcBorders/>
            <w:shd w:fill="FFFFFF" w:val="clear"/>
            <w:vAlign w:val="center"/>
          </w:tcPr>
          <w:p>
            <w:pPr>
              <w:pStyle w:val="TableContents"/>
              <w:bidi w:val="0"/>
              <w:spacing w:before="0" w:after="283"/>
              <w:jc w:val="left"/>
              <w:rPr>
                <w:sz w:val="4"/>
                <w:szCs w:val="4"/>
              </w:rPr>
            </w:pPr>
            <w:r>
              <w:rPr>
                <w:sz w:val="4"/>
                <w:szCs w:val="4"/>
              </w:rPr>
            </w:r>
          </w:p>
        </w:tc>
      </w:tr>
      <w:tr>
        <w:trPr/>
        <w:tc>
          <w:tcPr>
            <w:tcW w:w="5315"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5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576" w:type="dxa"/>
            <w:tcBorders>
              <w:bottom w:val="single" w:sz="8" w:space="0" w:color="000000"/>
            </w:tcBorders>
            <w:shd w:fill="CCEEFF" w:val="clear"/>
            <w:tcMar>
              <w:bottom w:w="28" w:type="dxa"/>
            </w:tcMar>
            <w:vAlign w:val="center"/>
          </w:tcPr>
          <w:p>
            <w:pPr>
              <w:pStyle w:val="TableContents"/>
              <w:bidi w:val="0"/>
              <w:spacing w:before="0" w:after="283"/>
              <w:jc w:val="right"/>
              <w:rPr/>
            </w:pPr>
            <w:r>
              <w:rPr/>
              <w:t>(390,381</w:t>
            </w:r>
          </w:p>
        </w:tc>
        <w:tc>
          <w:tcPr>
            <w:tcW w:w="171"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317"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987" w:type="dxa"/>
            <w:tcBorders>
              <w:bottom w:val="single" w:sz="8" w:space="0" w:color="000000"/>
            </w:tcBorders>
            <w:shd w:fill="CCEEFF" w:val="clear"/>
            <w:tcMar>
              <w:bottom w:w="28" w:type="dxa"/>
            </w:tcMar>
            <w:vAlign w:val="center"/>
          </w:tcPr>
          <w:p>
            <w:pPr>
              <w:pStyle w:val="TableContents"/>
              <w:bidi w:val="0"/>
              <w:spacing w:before="0" w:after="283"/>
              <w:jc w:val="right"/>
              <w:rPr/>
            </w:pPr>
            <w:r>
              <w:rPr/>
              <w:t>(373,095</w:t>
            </w:r>
          </w:p>
        </w:tc>
        <w:tc>
          <w:tcPr>
            <w:tcW w:w="249" w:type="dxa"/>
            <w:tcBorders/>
            <w:shd w:fill="CCEEFF" w:val="clear"/>
            <w:vAlign w:val="center"/>
          </w:tcPr>
          <w:p>
            <w:pPr>
              <w:pStyle w:val="TableContents"/>
              <w:bidi w:val="0"/>
              <w:spacing w:before="0" w:after="283"/>
              <w:jc w:val="left"/>
              <w:rPr/>
            </w:pPr>
            <w:r>
              <w:rPr/>
              <w:t>)</w:t>
            </w:r>
          </w:p>
        </w:tc>
      </w:tr>
      <w:tr>
        <w:trPr/>
        <w:tc>
          <w:tcPr>
            <w:tcW w:w="5315" w:type="dxa"/>
            <w:tcBorders/>
            <w:shd w:fill="FFFFFF" w:val="clear"/>
            <w:vAlign w:val="center"/>
          </w:tcPr>
          <w:p>
            <w:pPr>
              <w:pStyle w:val="TableContents"/>
              <w:bidi w:val="0"/>
              <w:spacing w:before="0" w:after="283"/>
              <w:jc w:val="left"/>
              <w:rPr>
                <w:b/>
              </w:rPr>
            </w:pPr>
            <w:r>
              <w:rPr>
                <w:b/>
              </w:rPr>
              <w:t>Total stockholders’ equity</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252"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576" w:type="dxa"/>
            <w:tcBorders>
              <w:bottom w:val="single" w:sz="8" w:space="0" w:color="000000"/>
            </w:tcBorders>
            <w:shd w:fill="FFFFFF" w:val="clear"/>
            <w:tcMar>
              <w:bottom w:w="28" w:type="dxa"/>
            </w:tcMar>
            <w:vAlign w:val="center"/>
          </w:tcPr>
          <w:p>
            <w:pPr>
              <w:pStyle w:val="TableContents"/>
              <w:bidi w:val="0"/>
              <w:spacing w:before="0" w:after="283"/>
              <w:jc w:val="right"/>
              <w:rPr/>
            </w:pPr>
            <w:r>
              <w:rPr/>
              <w:t>10,182</w:t>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317"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987" w:type="dxa"/>
            <w:tcBorders>
              <w:bottom w:val="single" w:sz="8" w:space="0" w:color="000000"/>
            </w:tcBorders>
            <w:shd w:fill="FFFFFF" w:val="clear"/>
            <w:tcMar>
              <w:bottom w:w="28" w:type="dxa"/>
            </w:tcMar>
            <w:vAlign w:val="center"/>
          </w:tcPr>
          <w:p>
            <w:pPr>
              <w:pStyle w:val="TableContents"/>
              <w:bidi w:val="0"/>
              <w:spacing w:before="0" w:after="283"/>
              <w:jc w:val="right"/>
              <w:rPr/>
            </w:pPr>
            <w:r>
              <w:rPr/>
              <w:t>15,124</w:t>
            </w:r>
          </w:p>
        </w:tc>
        <w:tc>
          <w:tcPr>
            <w:tcW w:w="249" w:type="dxa"/>
            <w:tcBorders/>
            <w:shd w:fill="FFFFFF" w:val="clear"/>
            <w:vAlign w:val="center"/>
          </w:tcPr>
          <w:p>
            <w:pPr>
              <w:pStyle w:val="TableContents"/>
              <w:bidi w:val="0"/>
              <w:spacing w:before="0" w:after="283"/>
              <w:jc w:val="left"/>
              <w:rPr>
                <w:sz w:val="4"/>
                <w:szCs w:val="4"/>
              </w:rPr>
            </w:pPr>
            <w:r>
              <w:rPr>
                <w:sz w:val="4"/>
                <w:szCs w:val="4"/>
              </w:rPr>
            </w:r>
          </w:p>
        </w:tc>
      </w:tr>
      <w:tr>
        <w:trPr/>
        <w:tc>
          <w:tcPr>
            <w:tcW w:w="5315" w:type="dxa"/>
            <w:tcBorders/>
            <w:shd w:fill="CCEEFF" w:val="clear"/>
            <w:vAlign w:val="center"/>
          </w:tcPr>
          <w:p>
            <w:pPr>
              <w:pStyle w:val="TableContents"/>
              <w:bidi w:val="0"/>
              <w:spacing w:before="0" w:after="283"/>
              <w:jc w:val="left"/>
              <w:rPr>
                <w:b/>
              </w:rPr>
            </w:pPr>
            <w:r>
              <w:rPr>
                <w:b/>
              </w:rPr>
              <w:t>Total liabilities and stockholders’ equity</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76" w:type="dxa"/>
            <w:tcBorders>
              <w:bottom w:val="double" w:sz="6" w:space="0" w:color="000000"/>
            </w:tcBorders>
            <w:shd w:fill="CCEEFF" w:val="clear"/>
            <w:tcMar>
              <w:bottom w:w="28" w:type="dxa"/>
            </w:tcMar>
            <w:vAlign w:val="center"/>
          </w:tcPr>
          <w:p>
            <w:pPr>
              <w:pStyle w:val="TableContents"/>
              <w:bidi w:val="0"/>
              <w:spacing w:before="0" w:after="283"/>
              <w:jc w:val="right"/>
              <w:rPr/>
            </w:pPr>
            <w:r>
              <w:rPr/>
              <w:t>22,102</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31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987" w:type="dxa"/>
            <w:tcBorders>
              <w:bottom w:val="double" w:sz="6" w:space="0" w:color="000000"/>
            </w:tcBorders>
            <w:shd w:fill="CCEEFF" w:val="clear"/>
            <w:tcMar>
              <w:bottom w:w="28" w:type="dxa"/>
            </w:tcMar>
            <w:vAlign w:val="center"/>
          </w:tcPr>
          <w:p>
            <w:pPr>
              <w:pStyle w:val="TableContents"/>
              <w:bidi w:val="0"/>
              <w:spacing w:before="0" w:after="283"/>
              <w:jc w:val="right"/>
              <w:rPr/>
            </w:pPr>
            <w:r>
              <w:rPr/>
              <w:t>27,120</w:t>
            </w:r>
          </w:p>
        </w:tc>
        <w:tc>
          <w:tcPr>
            <w:tcW w:w="249" w:type="dxa"/>
            <w:tcBorders/>
            <w:shd w:fill="CCEEFF" w:val="clear"/>
            <w:vAlign w:val="center"/>
          </w:tcPr>
          <w:p>
            <w:pPr>
              <w:pStyle w:val="TableContents"/>
              <w:bidi w:val="0"/>
              <w:spacing w:before="0" w:after="283"/>
              <w:jc w:val="left"/>
              <w:rPr>
                <w:sz w:val="4"/>
                <w:szCs w:val="4"/>
              </w:rPr>
            </w:pPr>
            <w:r>
              <w:rPr>
                <w:sz w:val="4"/>
                <w:szCs w:val="4"/>
              </w:rPr>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780" w:type="dxa"/>
        <w:jc w:val="left"/>
        <w:tblInd w:w="0" w:type="dxa"/>
        <w:tblLayout w:type="fixed"/>
        <w:tblCellMar>
          <w:top w:w="0" w:type="dxa"/>
          <w:left w:w="0" w:type="dxa"/>
          <w:bottom w:w="0" w:type="dxa"/>
          <w:right w:w="0" w:type="dxa"/>
        </w:tblCellMar>
      </w:tblPr>
      <w:tblGrid>
        <w:gridCol w:w="5780"/>
      </w:tblGrid>
      <w:tr>
        <w:trPr/>
        <w:tc>
          <w:tcPr>
            <w:tcW w:w="5780" w:type="dxa"/>
            <w:tcBorders/>
            <w:vAlign w:val="center"/>
          </w:tcPr>
          <w:p>
            <w:pPr>
              <w:pStyle w:val="TableContents"/>
              <w:bidi w:val="0"/>
              <w:spacing w:before="0" w:after="283"/>
              <w:jc w:val="left"/>
              <w:rPr>
                <w:b/>
              </w:rPr>
            </w:pPr>
            <w:r>
              <w:rPr>
                <w:b/>
              </w:rPr>
              <w:t>AEYE, INC.</w:t>
              <w:br/>
              <w:t>Consolidated Statements of Operations</w:t>
              <w:br/>
              <w:t>(In thousands, except share amounts and per share data)</w:t>
              <w:br/>
              <w:t>(Unaudited)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478"/>
        <w:gridCol w:w="60"/>
        <w:gridCol w:w="155"/>
        <w:gridCol w:w="1223"/>
        <w:gridCol w:w="105"/>
        <w:gridCol w:w="66"/>
        <w:gridCol w:w="155"/>
        <w:gridCol w:w="1090"/>
        <w:gridCol w:w="108"/>
        <w:gridCol w:w="60"/>
        <w:gridCol w:w="143"/>
        <w:gridCol w:w="1133"/>
        <w:gridCol w:w="97"/>
        <w:gridCol w:w="61"/>
        <w:gridCol w:w="143"/>
        <w:gridCol w:w="1009"/>
        <w:gridCol w:w="119"/>
      </w:tblGrid>
      <w:tr>
        <w:trPr/>
        <w:tc>
          <w:tcPr>
            <w:tcW w:w="44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902" w:type="dxa"/>
            <w:gridSpan w:val="7"/>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60" w:type="dxa"/>
            <w:tcBorders/>
            <w:vAlign w:val="center"/>
          </w:tcPr>
          <w:p>
            <w:pPr>
              <w:pStyle w:val="TableContents"/>
              <w:bidi w:val="0"/>
              <w:spacing w:before="0" w:after="283"/>
              <w:jc w:val="left"/>
              <w:rPr>
                <w:sz w:val="4"/>
                <w:szCs w:val="4"/>
              </w:rPr>
            </w:pPr>
            <w:r>
              <w:rPr>
                <w:sz w:val="4"/>
                <w:szCs w:val="4"/>
              </w:rPr>
            </w:r>
          </w:p>
        </w:tc>
        <w:tc>
          <w:tcPr>
            <w:tcW w:w="2705" w:type="dxa"/>
            <w:gridSpan w:val="7"/>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r>
      <w:tr>
        <w:trPr/>
        <w:tc>
          <w:tcPr>
            <w:tcW w:w="44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83"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6" w:type="dxa"/>
            <w:tcBorders/>
            <w:vAlign w:val="center"/>
          </w:tcPr>
          <w:p>
            <w:pPr>
              <w:pStyle w:val="TableContents"/>
              <w:bidi w:val="0"/>
              <w:spacing w:before="0" w:after="283"/>
              <w:jc w:val="left"/>
              <w:rPr>
                <w:sz w:val="4"/>
                <w:szCs w:val="4"/>
              </w:rPr>
            </w:pPr>
            <w:r>
              <w:rPr>
                <w:sz w:val="4"/>
                <w:szCs w:val="4"/>
              </w:rPr>
            </w:r>
          </w:p>
        </w:tc>
        <w:tc>
          <w:tcPr>
            <w:tcW w:w="1353"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sz w:val="4"/>
                <w:szCs w:val="4"/>
              </w:rPr>
            </w:pPr>
            <w:r>
              <w:rPr>
                <w:sz w:val="4"/>
                <w:szCs w:val="4"/>
              </w:rPr>
            </w:r>
          </w:p>
        </w:tc>
        <w:tc>
          <w:tcPr>
            <w:tcW w:w="1373"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1" w:type="dxa"/>
            <w:tcBorders/>
            <w:vAlign w:val="center"/>
          </w:tcPr>
          <w:p>
            <w:pPr>
              <w:pStyle w:val="TableContents"/>
              <w:bidi w:val="0"/>
              <w:spacing w:before="0" w:after="283"/>
              <w:jc w:val="left"/>
              <w:rPr>
                <w:sz w:val="4"/>
                <w:szCs w:val="4"/>
              </w:rPr>
            </w:pPr>
            <w:r>
              <w:rPr>
                <w:sz w:val="4"/>
                <w:szCs w:val="4"/>
              </w:rPr>
            </w:r>
          </w:p>
        </w:tc>
        <w:tc>
          <w:tcPr>
            <w:tcW w:w="1271"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r>
      <w:tr>
        <w:trPr/>
        <w:tc>
          <w:tcPr>
            <w:tcW w:w="4478"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223" w:type="dxa"/>
            <w:tcBorders/>
            <w:shd w:fill="CCEEFF" w:val="clear"/>
            <w:vAlign w:val="center"/>
          </w:tcPr>
          <w:p>
            <w:pPr>
              <w:pStyle w:val="TableContents"/>
              <w:bidi w:val="0"/>
              <w:spacing w:before="0" w:after="283"/>
              <w:jc w:val="right"/>
              <w:rPr/>
            </w:pPr>
            <w:r>
              <w:rPr/>
              <w:t>22</w:t>
            </w:r>
          </w:p>
        </w:tc>
        <w:tc>
          <w:tcPr>
            <w:tcW w:w="105" w:type="dxa"/>
            <w:tcBorders/>
            <w:shd w:fill="CCEEFF" w:val="clear"/>
            <w:vAlign w:val="center"/>
          </w:tcPr>
          <w:p>
            <w:pPr>
              <w:pStyle w:val="TableContents"/>
              <w:bidi w:val="0"/>
              <w:spacing w:before="0" w:after="283"/>
              <w:jc w:val="left"/>
              <w:rPr>
                <w:sz w:val="4"/>
                <w:szCs w:val="4"/>
              </w:rPr>
            </w:pPr>
            <w:r>
              <w:rPr>
                <w:sz w:val="4"/>
                <w:szCs w:val="4"/>
              </w:rPr>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090" w:type="dxa"/>
            <w:tcBorders/>
            <w:shd w:fill="CCEEFF" w:val="clear"/>
            <w:vAlign w:val="center"/>
          </w:tcPr>
          <w:p>
            <w:pPr>
              <w:pStyle w:val="TableContents"/>
              <w:bidi w:val="0"/>
              <w:spacing w:before="0" w:after="283"/>
              <w:jc w:val="right"/>
              <w:rPr/>
            </w:pPr>
            <w:r>
              <w:rPr/>
              <w:t>32</w:t>
            </w:r>
          </w:p>
        </w:tc>
        <w:tc>
          <w:tcPr>
            <w:tcW w:w="10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133" w:type="dxa"/>
            <w:tcBorders/>
            <w:shd w:fill="CCEEFF" w:val="clear"/>
            <w:vAlign w:val="center"/>
          </w:tcPr>
          <w:p>
            <w:pPr>
              <w:pStyle w:val="TableContents"/>
              <w:bidi w:val="0"/>
              <w:spacing w:before="0" w:after="283"/>
              <w:jc w:val="right"/>
              <w:rPr/>
            </w:pPr>
            <w:r>
              <w:rPr/>
              <w:t>86</w:t>
            </w:r>
          </w:p>
        </w:tc>
        <w:tc>
          <w:tcPr>
            <w:tcW w:w="97" w:type="dxa"/>
            <w:tcBorders/>
            <w:shd w:fill="CCEEFF" w:val="clear"/>
            <w:vAlign w:val="center"/>
          </w:tcPr>
          <w:p>
            <w:pPr>
              <w:pStyle w:val="TableContents"/>
              <w:bidi w:val="0"/>
              <w:spacing w:before="0" w:after="283"/>
              <w:jc w:val="left"/>
              <w:rPr>
                <w:sz w:val="4"/>
                <w:szCs w:val="4"/>
              </w:rPr>
            </w:pPr>
            <w:r>
              <w:rPr>
                <w:sz w:val="4"/>
                <w:szCs w:val="4"/>
              </w:rPr>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009" w:type="dxa"/>
            <w:tcBorders/>
            <w:shd w:fill="CCEEFF" w:val="clear"/>
            <w:vAlign w:val="center"/>
          </w:tcPr>
          <w:p>
            <w:pPr>
              <w:pStyle w:val="TableContents"/>
              <w:bidi w:val="0"/>
              <w:spacing w:before="0" w:after="283"/>
              <w:jc w:val="right"/>
              <w:rPr/>
            </w:pPr>
            <w:r>
              <w:rPr/>
              <w:t>52</w:t>
            </w:r>
          </w:p>
        </w:tc>
        <w:tc>
          <w:tcPr>
            <w:tcW w:w="119" w:type="dxa"/>
            <w:tcBorders/>
            <w:shd w:fill="CCEEFF" w:val="clear"/>
            <w:vAlign w:val="center"/>
          </w:tcPr>
          <w:p>
            <w:pPr>
              <w:pStyle w:val="TableContents"/>
              <w:bidi w:val="0"/>
              <w:spacing w:before="0" w:after="283"/>
              <w:jc w:val="left"/>
              <w:rPr>
                <w:sz w:val="4"/>
                <w:szCs w:val="4"/>
              </w:rPr>
            </w:pPr>
            <w:r>
              <w:rPr>
                <w:sz w:val="4"/>
                <w:szCs w:val="4"/>
              </w:rPr>
            </w:r>
          </w:p>
        </w:tc>
      </w:tr>
      <w:tr>
        <w:trPr/>
        <w:tc>
          <w:tcPr>
            <w:tcW w:w="4478"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223" w:type="dxa"/>
            <w:tcBorders>
              <w:bottom w:val="single" w:sz="8" w:space="0" w:color="000000"/>
            </w:tcBorders>
            <w:shd w:fill="FFFFFF" w:val="clear"/>
            <w:tcMar>
              <w:bottom w:w="28" w:type="dxa"/>
            </w:tcMar>
            <w:vAlign w:val="center"/>
          </w:tcPr>
          <w:p>
            <w:pPr>
              <w:pStyle w:val="TableContents"/>
              <w:bidi w:val="0"/>
              <w:spacing w:before="0" w:after="283"/>
              <w:jc w:val="right"/>
              <w:rPr/>
            </w:pPr>
            <w:r>
              <w:rPr/>
              <w:t>108</w:t>
            </w:r>
          </w:p>
        </w:tc>
        <w:tc>
          <w:tcPr>
            <w:tcW w:w="105" w:type="dxa"/>
            <w:tcBorders/>
            <w:shd w:fill="FFFFFF" w:val="clear"/>
            <w:vAlign w:val="center"/>
          </w:tcPr>
          <w:p>
            <w:pPr>
              <w:pStyle w:val="TableContents"/>
              <w:bidi w:val="0"/>
              <w:spacing w:before="0" w:after="283"/>
              <w:jc w:val="left"/>
              <w:rPr>
                <w:sz w:val="4"/>
                <w:szCs w:val="4"/>
              </w:rPr>
            </w:pPr>
            <w:r>
              <w:rPr>
                <w:sz w:val="4"/>
                <w:szCs w:val="4"/>
              </w:rPr>
            </w:r>
          </w:p>
        </w:tc>
        <w:tc>
          <w:tcPr>
            <w:tcW w:w="66" w:type="dxa"/>
            <w:tcBorders/>
            <w:shd w:fill="FFFFFF" w:val="clear"/>
            <w:vAlign w:val="center"/>
          </w:tcPr>
          <w:p>
            <w:pPr>
              <w:pStyle w:val="TableContents"/>
              <w:bidi w:val="0"/>
              <w:spacing w:before="0" w:after="283"/>
              <w:jc w:val="left"/>
              <w:rPr>
                <w:sz w:val="4"/>
                <w:szCs w:val="4"/>
              </w:rPr>
            </w:pPr>
            <w:r>
              <w:rPr>
                <w:sz w:val="4"/>
                <w:szCs w:val="4"/>
              </w:rPr>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0" w:type="dxa"/>
            <w:tcBorders>
              <w:bottom w:val="single" w:sz="8" w:space="0" w:color="000000"/>
            </w:tcBorders>
            <w:shd w:fill="FFFFFF" w:val="clear"/>
            <w:tcMar>
              <w:bottom w:w="28" w:type="dxa"/>
            </w:tcMar>
            <w:vAlign w:val="center"/>
          </w:tcPr>
          <w:p>
            <w:pPr>
              <w:pStyle w:val="TableContents"/>
              <w:bidi w:val="0"/>
              <w:spacing w:before="0" w:after="283"/>
              <w:jc w:val="right"/>
              <w:rPr/>
            </w:pPr>
            <w:r>
              <w:rPr/>
              <w:t>160</w:t>
            </w:r>
          </w:p>
        </w:tc>
        <w:tc>
          <w:tcPr>
            <w:tcW w:w="108"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33" w:type="dxa"/>
            <w:tcBorders>
              <w:bottom w:val="single" w:sz="8" w:space="0" w:color="000000"/>
            </w:tcBorders>
            <w:shd w:fill="FFFFFF" w:val="clear"/>
            <w:tcMar>
              <w:bottom w:w="28" w:type="dxa"/>
            </w:tcMar>
            <w:vAlign w:val="center"/>
          </w:tcPr>
          <w:p>
            <w:pPr>
              <w:pStyle w:val="TableContents"/>
              <w:bidi w:val="0"/>
              <w:spacing w:before="0" w:after="283"/>
              <w:jc w:val="right"/>
              <w:rPr/>
            </w:pPr>
            <w:r>
              <w:rPr/>
              <w:t>204</w:t>
            </w:r>
          </w:p>
        </w:tc>
        <w:tc>
          <w:tcPr>
            <w:tcW w:w="97" w:type="dxa"/>
            <w:tcBorders/>
            <w:shd w:fill="FFFFFF" w:val="clear"/>
            <w:vAlign w:val="center"/>
          </w:tcPr>
          <w:p>
            <w:pPr>
              <w:pStyle w:val="TableContents"/>
              <w:bidi w:val="0"/>
              <w:spacing w:before="0" w:after="283"/>
              <w:jc w:val="left"/>
              <w:rPr>
                <w:sz w:val="4"/>
                <w:szCs w:val="4"/>
              </w:rPr>
            </w:pPr>
            <w:r>
              <w:rPr>
                <w:sz w:val="4"/>
                <w:szCs w:val="4"/>
              </w:rPr>
            </w:r>
          </w:p>
        </w:tc>
        <w:tc>
          <w:tcPr>
            <w:tcW w:w="61" w:type="dxa"/>
            <w:tcBorders/>
            <w:shd w:fill="FFFFFF" w:val="clear"/>
            <w:vAlign w:val="center"/>
          </w:tcPr>
          <w:p>
            <w:pPr>
              <w:pStyle w:val="TableContents"/>
              <w:bidi w:val="0"/>
              <w:spacing w:before="0" w:after="283"/>
              <w:jc w:val="left"/>
              <w:rPr>
                <w:sz w:val="4"/>
                <w:szCs w:val="4"/>
              </w:rPr>
            </w:pPr>
            <w:r>
              <w:rPr>
                <w:sz w:val="4"/>
                <w:szCs w:val="4"/>
              </w:rPr>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pPr>
            <w:r>
              <w:rPr/>
              <w:t>423</w:t>
            </w:r>
          </w:p>
        </w:tc>
        <w:tc>
          <w:tcPr>
            <w:tcW w:w="119" w:type="dxa"/>
            <w:tcBorders/>
            <w:shd w:fill="FFFFFF" w:val="clear"/>
            <w:vAlign w:val="center"/>
          </w:tcPr>
          <w:p>
            <w:pPr>
              <w:pStyle w:val="TableContents"/>
              <w:bidi w:val="0"/>
              <w:spacing w:before="0" w:after="283"/>
              <w:jc w:val="left"/>
              <w:rPr>
                <w:sz w:val="4"/>
                <w:szCs w:val="4"/>
              </w:rPr>
            </w:pPr>
            <w:r>
              <w:rPr>
                <w:sz w:val="4"/>
                <w:szCs w:val="4"/>
              </w:rPr>
            </w:r>
          </w:p>
        </w:tc>
      </w:tr>
      <w:tr>
        <w:trPr/>
        <w:tc>
          <w:tcPr>
            <w:tcW w:w="4478" w:type="dxa"/>
            <w:tcBorders/>
            <w:shd w:fill="CCEEFF" w:val="clear"/>
            <w:vAlign w:val="center"/>
          </w:tcPr>
          <w:p>
            <w:pPr>
              <w:pStyle w:val="TableContents"/>
              <w:bidi w:val="0"/>
              <w:spacing w:before="0" w:after="283"/>
              <w:jc w:val="left"/>
              <w:rPr/>
            </w:pPr>
            <w:r>
              <w:rPr/>
              <w:t>Gross loss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23" w:type="dxa"/>
            <w:tcBorders/>
            <w:shd w:fill="CCEEFF" w:val="clear"/>
            <w:vAlign w:val="center"/>
          </w:tcPr>
          <w:p>
            <w:pPr>
              <w:pStyle w:val="TableContents"/>
              <w:bidi w:val="0"/>
              <w:spacing w:before="0" w:after="283"/>
              <w:jc w:val="right"/>
              <w:rPr/>
            </w:pPr>
            <w:r>
              <w:rPr/>
              <w:t>(86</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090" w:type="dxa"/>
            <w:tcBorders/>
            <w:shd w:fill="CCEEFF" w:val="clear"/>
            <w:vAlign w:val="center"/>
          </w:tcPr>
          <w:p>
            <w:pPr>
              <w:pStyle w:val="TableContents"/>
              <w:bidi w:val="0"/>
              <w:spacing w:before="0" w:after="283"/>
              <w:jc w:val="right"/>
              <w:rPr/>
            </w:pPr>
            <w:r>
              <w:rPr/>
              <w:t>(128</w:t>
            </w:r>
          </w:p>
        </w:tc>
        <w:tc>
          <w:tcPr>
            <w:tcW w:w="10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1133" w:type="dxa"/>
            <w:tcBorders/>
            <w:shd w:fill="CCEEFF" w:val="clear"/>
            <w:vAlign w:val="center"/>
          </w:tcPr>
          <w:p>
            <w:pPr>
              <w:pStyle w:val="TableContents"/>
              <w:bidi w:val="0"/>
              <w:spacing w:before="0" w:after="283"/>
              <w:jc w:val="right"/>
              <w:rPr/>
            </w:pPr>
            <w:r>
              <w:rPr/>
              <w:t>(118</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1009" w:type="dxa"/>
            <w:tcBorders/>
            <w:shd w:fill="CCEEFF" w:val="clear"/>
            <w:vAlign w:val="center"/>
          </w:tcPr>
          <w:p>
            <w:pPr>
              <w:pStyle w:val="TableContents"/>
              <w:bidi w:val="0"/>
              <w:spacing w:before="0" w:after="283"/>
              <w:jc w:val="right"/>
              <w:rPr/>
            </w:pPr>
            <w:r>
              <w:rPr/>
              <w:t>(371</w:t>
            </w:r>
          </w:p>
        </w:tc>
        <w:tc>
          <w:tcPr>
            <w:tcW w:w="119" w:type="dxa"/>
            <w:tcBorders/>
            <w:shd w:fill="CCEEFF" w:val="clear"/>
            <w:vAlign w:val="center"/>
          </w:tcPr>
          <w:p>
            <w:pPr>
              <w:pStyle w:val="TableContents"/>
              <w:bidi w:val="0"/>
              <w:spacing w:before="0" w:after="283"/>
              <w:jc w:val="left"/>
              <w:rPr/>
            </w:pPr>
            <w:r>
              <w:rPr/>
              <w:t>)</w:t>
            </w:r>
          </w:p>
        </w:tc>
      </w:tr>
      <w:tr>
        <w:trPr/>
        <w:tc>
          <w:tcPr>
            <w:tcW w:w="4478"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sz w:val="4"/>
                <w:szCs w:val="4"/>
              </w:rPr>
            </w:pPr>
            <w:r>
              <w:rPr>
                <w:sz w:val="4"/>
                <w:szCs w:val="4"/>
              </w:rPr>
            </w:r>
          </w:p>
        </w:tc>
        <w:tc>
          <w:tcPr>
            <w:tcW w:w="1223"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sz w:val="4"/>
                <w:szCs w:val="4"/>
              </w:rPr>
            </w:pPr>
            <w:r>
              <w:rPr>
                <w:sz w:val="4"/>
                <w:szCs w:val="4"/>
              </w:rPr>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sz w:val="4"/>
                <w:szCs w:val="4"/>
              </w:rPr>
            </w:pPr>
            <w:r>
              <w:rPr>
                <w:sz w:val="4"/>
                <w:szCs w:val="4"/>
              </w:rPr>
            </w:r>
          </w:p>
        </w:tc>
        <w:tc>
          <w:tcPr>
            <w:tcW w:w="1090"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sz w:val="4"/>
                <w:szCs w:val="4"/>
              </w:rPr>
            </w:pPr>
            <w:r>
              <w:rPr>
                <w:sz w:val="4"/>
                <w:szCs w:val="4"/>
              </w:rPr>
            </w:r>
          </w:p>
        </w:tc>
        <w:tc>
          <w:tcPr>
            <w:tcW w:w="1133"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sz w:val="4"/>
                <w:szCs w:val="4"/>
              </w:rPr>
            </w:pPr>
            <w:r>
              <w:rPr>
                <w:sz w:val="4"/>
                <w:szCs w:val="4"/>
              </w:rPr>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sz w:val="4"/>
                <w:szCs w:val="4"/>
              </w:rPr>
            </w:pPr>
            <w:r>
              <w:rPr>
                <w:sz w:val="4"/>
                <w:szCs w:val="4"/>
              </w:rPr>
            </w:r>
          </w:p>
        </w:tc>
        <w:tc>
          <w:tcPr>
            <w:tcW w:w="1009"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sz w:val="4"/>
                <w:szCs w:val="4"/>
              </w:rPr>
            </w:pPr>
            <w:r>
              <w:rPr>
                <w:sz w:val="4"/>
                <w:szCs w:val="4"/>
              </w:rPr>
            </w:r>
          </w:p>
        </w:tc>
      </w:tr>
      <w:tr>
        <w:trPr/>
        <w:tc>
          <w:tcPr>
            <w:tcW w:w="4478"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23" w:type="dxa"/>
            <w:tcBorders/>
            <w:shd w:fill="CCEEFF" w:val="clear"/>
            <w:vAlign w:val="center"/>
          </w:tcPr>
          <w:p>
            <w:pPr>
              <w:pStyle w:val="TableContents"/>
              <w:bidi w:val="0"/>
              <w:spacing w:before="0" w:after="283"/>
              <w:jc w:val="right"/>
              <w:rPr/>
            </w:pPr>
            <w:r>
              <w:rPr/>
              <w:t>3,670</w:t>
            </w:r>
          </w:p>
        </w:tc>
        <w:tc>
          <w:tcPr>
            <w:tcW w:w="105" w:type="dxa"/>
            <w:tcBorders/>
            <w:shd w:fill="CCEEFF" w:val="clear"/>
            <w:vAlign w:val="center"/>
          </w:tcPr>
          <w:p>
            <w:pPr>
              <w:pStyle w:val="TableContents"/>
              <w:bidi w:val="0"/>
              <w:spacing w:before="0" w:after="283"/>
              <w:jc w:val="left"/>
              <w:rPr>
                <w:sz w:val="4"/>
                <w:szCs w:val="4"/>
              </w:rPr>
            </w:pPr>
            <w:r>
              <w:rPr>
                <w:sz w:val="4"/>
                <w:szCs w:val="4"/>
              </w:rPr>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090" w:type="dxa"/>
            <w:tcBorders/>
            <w:shd w:fill="CCEEFF" w:val="clear"/>
            <w:vAlign w:val="center"/>
          </w:tcPr>
          <w:p>
            <w:pPr>
              <w:pStyle w:val="TableContents"/>
              <w:bidi w:val="0"/>
              <w:spacing w:before="0" w:after="283"/>
              <w:jc w:val="right"/>
              <w:rPr/>
            </w:pPr>
            <w:r>
              <w:rPr/>
              <w:t>3,838</w:t>
            </w:r>
          </w:p>
        </w:tc>
        <w:tc>
          <w:tcPr>
            <w:tcW w:w="10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1133" w:type="dxa"/>
            <w:tcBorders/>
            <w:shd w:fill="CCEEFF" w:val="clear"/>
            <w:vAlign w:val="center"/>
          </w:tcPr>
          <w:p>
            <w:pPr>
              <w:pStyle w:val="TableContents"/>
              <w:bidi w:val="0"/>
              <w:spacing w:before="0" w:after="283"/>
              <w:jc w:val="right"/>
              <w:rPr/>
            </w:pPr>
            <w:r>
              <w:rPr/>
              <w:t>7,160</w:t>
            </w:r>
          </w:p>
        </w:tc>
        <w:tc>
          <w:tcPr>
            <w:tcW w:w="97" w:type="dxa"/>
            <w:tcBorders/>
            <w:shd w:fill="CCEEFF" w:val="clear"/>
            <w:vAlign w:val="center"/>
          </w:tcPr>
          <w:p>
            <w:pPr>
              <w:pStyle w:val="TableContents"/>
              <w:bidi w:val="0"/>
              <w:spacing w:before="0" w:after="283"/>
              <w:jc w:val="left"/>
              <w:rPr>
                <w:sz w:val="4"/>
                <w:szCs w:val="4"/>
              </w:rPr>
            </w:pPr>
            <w:r>
              <w:rPr>
                <w:sz w:val="4"/>
                <w:szCs w:val="4"/>
              </w:rPr>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1009" w:type="dxa"/>
            <w:tcBorders/>
            <w:shd w:fill="CCEEFF" w:val="clear"/>
            <w:vAlign w:val="center"/>
          </w:tcPr>
          <w:p>
            <w:pPr>
              <w:pStyle w:val="TableContents"/>
              <w:bidi w:val="0"/>
              <w:spacing w:before="0" w:after="283"/>
              <w:jc w:val="right"/>
              <w:rPr/>
            </w:pPr>
            <w:r>
              <w:rPr/>
              <w:t>8,370</w:t>
            </w:r>
          </w:p>
        </w:tc>
        <w:tc>
          <w:tcPr>
            <w:tcW w:w="119" w:type="dxa"/>
            <w:tcBorders/>
            <w:shd w:fill="CCEEFF" w:val="clear"/>
            <w:vAlign w:val="center"/>
          </w:tcPr>
          <w:p>
            <w:pPr>
              <w:pStyle w:val="TableContents"/>
              <w:bidi w:val="0"/>
              <w:spacing w:before="0" w:after="283"/>
              <w:jc w:val="left"/>
              <w:rPr>
                <w:sz w:val="4"/>
                <w:szCs w:val="4"/>
              </w:rPr>
            </w:pPr>
            <w:r>
              <w:rPr>
                <w:sz w:val="4"/>
                <w:szCs w:val="4"/>
              </w:rPr>
            </w:r>
          </w:p>
        </w:tc>
      </w:tr>
      <w:tr>
        <w:trPr/>
        <w:tc>
          <w:tcPr>
            <w:tcW w:w="4478"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sz w:val="4"/>
                <w:szCs w:val="4"/>
              </w:rPr>
            </w:pPr>
            <w:r>
              <w:rPr>
                <w:sz w:val="4"/>
                <w:szCs w:val="4"/>
              </w:rPr>
            </w:r>
          </w:p>
        </w:tc>
        <w:tc>
          <w:tcPr>
            <w:tcW w:w="1223" w:type="dxa"/>
            <w:tcBorders/>
            <w:shd w:fill="FFFFFF" w:val="clear"/>
            <w:vAlign w:val="center"/>
          </w:tcPr>
          <w:p>
            <w:pPr>
              <w:pStyle w:val="TableContents"/>
              <w:bidi w:val="0"/>
              <w:spacing w:before="0" w:after="283"/>
              <w:jc w:val="right"/>
              <w:rPr/>
            </w:pPr>
            <w:r>
              <w:rPr/>
              <w:t>601</w:t>
            </w:r>
          </w:p>
        </w:tc>
        <w:tc>
          <w:tcPr>
            <w:tcW w:w="105" w:type="dxa"/>
            <w:tcBorders/>
            <w:shd w:fill="FFFFFF" w:val="clear"/>
            <w:vAlign w:val="center"/>
          </w:tcPr>
          <w:p>
            <w:pPr>
              <w:pStyle w:val="TableContents"/>
              <w:bidi w:val="0"/>
              <w:spacing w:before="0" w:after="283"/>
              <w:jc w:val="left"/>
              <w:rPr>
                <w:sz w:val="4"/>
                <w:szCs w:val="4"/>
              </w:rPr>
            </w:pPr>
            <w:r>
              <w:rPr>
                <w:sz w:val="4"/>
                <w:szCs w:val="4"/>
              </w:rPr>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sz w:val="4"/>
                <w:szCs w:val="4"/>
              </w:rPr>
            </w:pPr>
            <w:r>
              <w:rPr>
                <w:sz w:val="4"/>
                <w:szCs w:val="4"/>
              </w:rPr>
            </w:r>
          </w:p>
        </w:tc>
        <w:tc>
          <w:tcPr>
            <w:tcW w:w="1090" w:type="dxa"/>
            <w:tcBorders/>
            <w:shd w:fill="FFFFFF" w:val="clear"/>
            <w:vAlign w:val="center"/>
          </w:tcPr>
          <w:p>
            <w:pPr>
              <w:pStyle w:val="TableContents"/>
              <w:bidi w:val="0"/>
              <w:spacing w:before="0" w:after="283"/>
              <w:jc w:val="right"/>
              <w:rPr/>
            </w:pPr>
            <w:r>
              <w:rPr/>
              <w:t>67</w:t>
            </w:r>
          </w:p>
        </w:tc>
        <w:tc>
          <w:tcPr>
            <w:tcW w:w="108"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sz w:val="4"/>
                <w:szCs w:val="4"/>
              </w:rPr>
            </w:pPr>
            <w:r>
              <w:rPr>
                <w:sz w:val="4"/>
                <w:szCs w:val="4"/>
              </w:rPr>
            </w:r>
          </w:p>
        </w:tc>
        <w:tc>
          <w:tcPr>
            <w:tcW w:w="1133" w:type="dxa"/>
            <w:tcBorders/>
            <w:shd w:fill="FFFFFF" w:val="clear"/>
            <w:vAlign w:val="center"/>
          </w:tcPr>
          <w:p>
            <w:pPr>
              <w:pStyle w:val="TableContents"/>
              <w:bidi w:val="0"/>
              <w:spacing w:before="0" w:after="283"/>
              <w:jc w:val="right"/>
              <w:rPr/>
            </w:pPr>
            <w:r>
              <w:rPr/>
              <w:t>984</w:t>
            </w:r>
          </w:p>
        </w:tc>
        <w:tc>
          <w:tcPr>
            <w:tcW w:w="97" w:type="dxa"/>
            <w:tcBorders/>
            <w:shd w:fill="FFFFFF" w:val="clear"/>
            <w:vAlign w:val="center"/>
          </w:tcPr>
          <w:p>
            <w:pPr>
              <w:pStyle w:val="TableContents"/>
              <w:bidi w:val="0"/>
              <w:spacing w:before="0" w:after="283"/>
              <w:jc w:val="left"/>
              <w:rPr>
                <w:sz w:val="4"/>
                <w:szCs w:val="4"/>
              </w:rPr>
            </w:pPr>
            <w:r>
              <w:rPr>
                <w:sz w:val="4"/>
                <w:szCs w:val="4"/>
              </w:rPr>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sz w:val="4"/>
                <w:szCs w:val="4"/>
              </w:rPr>
            </w:pPr>
            <w:r>
              <w:rPr>
                <w:sz w:val="4"/>
                <w:szCs w:val="4"/>
              </w:rPr>
            </w:r>
          </w:p>
        </w:tc>
        <w:tc>
          <w:tcPr>
            <w:tcW w:w="1009" w:type="dxa"/>
            <w:tcBorders/>
            <w:shd w:fill="FFFFFF" w:val="clear"/>
            <w:vAlign w:val="center"/>
          </w:tcPr>
          <w:p>
            <w:pPr>
              <w:pStyle w:val="TableContents"/>
              <w:bidi w:val="0"/>
              <w:spacing w:before="0" w:after="283"/>
              <w:jc w:val="right"/>
              <w:rPr/>
            </w:pPr>
            <w:r>
              <w:rPr/>
              <w:t>408</w:t>
            </w:r>
          </w:p>
        </w:tc>
        <w:tc>
          <w:tcPr>
            <w:tcW w:w="119" w:type="dxa"/>
            <w:tcBorders/>
            <w:shd w:fill="FFFFFF" w:val="clear"/>
            <w:vAlign w:val="center"/>
          </w:tcPr>
          <w:p>
            <w:pPr>
              <w:pStyle w:val="TableContents"/>
              <w:bidi w:val="0"/>
              <w:spacing w:before="0" w:after="283"/>
              <w:jc w:val="left"/>
              <w:rPr>
                <w:sz w:val="4"/>
                <w:szCs w:val="4"/>
              </w:rPr>
            </w:pPr>
            <w:r>
              <w:rPr>
                <w:sz w:val="4"/>
                <w:szCs w:val="4"/>
              </w:rPr>
            </w:r>
          </w:p>
        </w:tc>
      </w:tr>
      <w:tr>
        <w:trPr/>
        <w:tc>
          <w:tcPr>
            <w:tcW w:w="4478"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223" w:type="dxa"/>
            <w:tcBorders>
              <w:bottom w:val="single" w:sz="8" w:space="0" w:color="000000"/>
            </w:tcBorders>
            <w:shd w:fill="CCEEFF" w:val="clear"/>
            <w:tcMar>
              <w:bottom w:w="28" w:type="dxa"/>
            </w:tcMar>
            <w:vAlign w:val="center"/>
          </w:tcPr>
          <w:p>
            <w:pPr>
              <w:pStyle w:val="TableContents"/>
              <w:bidi w:val="0"/>
              <w:spacing w:before="0" w:after="283"/>
              <w:jc w:val="right"/>
              <w:rPr/>
            </w:pPr>
            <w:r>
              <w:rPr/>
              <w:t>4,348</w:t>
            </w:r>
          </w:p>
        </w:tc>
        <w:tc>
          <w:tcPr>
            <w:tcW w:w="105" w:type="dxa"/>
            <w:tcBorders/>
            <w:shd w:fill="CCEEFF" w:val="clear"/>
            <w:vAlign w:val="center"/>
          </w:tcPr>
          <w:p>
            <w:pPr>
              <w:pStyle w:val="TableContents"/>
              <w:bidi w:val="0"/>
              <w:spacing w:before="0" w:after="283"/>
              <w:jc w:val="left"/>
              <w:rPr>
                <w:sz w:val="4"/>
                <w:szCs w:val="4"/>
              </w:rPr>
            </w:pPr>
            <w:r>
              <w:rPr>
                <w:sz w:val="4"/>
                <w:szCs w:val="4"/>
              </w:rPr>
            </w:r>
          </w:p>
        </w:tc>
        <w:tc>
          <w:tcPr>
            <w:tcW w:w="6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0" w:type="dxa"/>
            <w:tcBorders>
              <w:bottom w:val="single" w:sz="8" w:space="0" w:color="000000"/>
            </w:tcBorders>
            <w:shd w:fill="CCEEFF" w:val="clear"/>
            <w:tcMar>
              <w:bottom w:w="28" w:type="dxa"/>
            </w:tcMar>
            <w:vAlign w:val="center"/>
          </w:tcPr>
          <w:p>
            <w:pPr>
              <w:pStyle w:val="TableContents"/>
              <w:bidi w:val="0"/>
              <w:spacing w:before="0" w:after="283"/>
              <w:jc w:val="right"/>
              <w:rPr/>
            </w:pPr>
            <w:r>
              <w:rPr/>
              <w:t>4,223</w:t>
            </w:r>
          </w:p>
        </w:tc>
        <w:tc>
          <w:tcPr>
            <w:tcW w:w="10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33" w:type="dxa"/>
            <w:tcBorders>
              <w:bottom w:val="single" w:sz="8" w:space="0" w:color="000000"/>
            </w:tcBorders>
            <w:shd w:fill="CCEEFF" w:val="clear"/>
            <w:tcMar>
              <w:bottom w:w="28" w:type="dxa"/>
            </w:tcMar>
            <w:vAlign w:val="center"/>
          </w:tcPr>
          <w:p>
            <w:pPr>
              <w:pStyle w:val="TableContents"/>
              <w:bidi w:val="0"/>
              <w:spacing w:before="0" w:after="283"/>
              <w:jc w:val="right"/>
              <w:rPr/>
            </w:pPr>
            <w:r>
              <w:rPr/>
              <w:t>7,243</w:t>
            </w:r>
          </w:p>
        </w:tc>
        <w:tc>
          <w:tcPr>
            <w:tcW w:w="97" w:type="dxa"/>
            <w:tcBorders/>
            <w:shd w:fill="CCEEFF" w:val="clear"/>
            <w:vAlign w:val="center"/>
          </w:tcPr>
          <w:p>
            <w:pPr>
              <w:pStyle w:val="TableContents"/>
              <w:bidi w:val="0"/>
              <w:spacing w:before="0" w:after="283"/>
              <w:jc w:val="left"/>
              <w:rPr>
                <w:sz w:val="4"/>
                <w:szCs w:val="4"/>
              </w:rPr>
            </w:pPr>
            <w:r>
              <w:rPr>
                <w:sz w:val="4"/>
                <w:szCs w:val="4"/>
              </w:rPr>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pPr>
            <w:r>
              <w:rPr/>
              <w:t>9,838</w:t>
            </w:r>
          </w:p>
        </w:tc>
        <w:tc>
          <w:tcPr>
            <w:tcW w:w="119" w:type="dxa"/>
            <w:tcBorders/>
            <w:shd w:fill="CCEEFF" w:val="clear"/>
            <w:vAlign w:val="center"/>
          </w:tcPr>
          <w:p>
            <w:pPr>
              <w:pStyle w:val="TableContents"/>
              <w:bidi w:val="0"/>
              <w:spacing w:before="0" w:after="283"/>
              <w:jc w:val="left"/>
              <w:rPr>
                <w:sz w:val="4"/>
                <w:szCs w:val="4"/>
              </w:rPr>
            </w:pPr>
            <w:r>
              <w:rPr>
                <w:sz w:val="4"/>
                <w:szCs w:val="4"/>
              </w:rPr>
            </w:r>
          </w:p>
        </w:tc>
      </w:tr>
      <w:tr>
        <w:trPr/>
        <w:tc>
          <w:tcPr>
            <w:tcW w:w="4478"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223" w:type="dxa"/>
            <w:tcBorders>
              <w:bottom w:val="single" w:sz="8" w:space="0" w:color="000000"/>
            </w:tcBorders>
            <w:shd w:fill="FFFFFF" w:val="clear"/>
            <w:tcMar>
              <w:bottom w:w="28" w:type="dxa"/>
            </w:tcMar>
            <w:vAlign w:val="center"/>
          </w:tcPr>
          <w:p>
            <w:pPr>
              <w:pStyle w:val="TableContents"/>
              <w:bidi w:val="0"/>
              <w:spacing w:before="0" w:after="283"/>
              <w:jc w:val="right"/>
              <w:rPr/>
            </w:pPr>
            <w:r>
              <w:rPr/>
              <w:t>8,619</w:t>
            </w:r>
          </w:p>
        </w:tc>
        <w:tc>
          <w:tcPr>
            <w:tcW w:w="105" w:type="dxa"/>
            <w:tcBorders/>
            <w:shd w:fill="FFFFFF" w:val="clear"/>
            <w:vAlign w:val="center"/>
          </w:tcPr>
          <w:p>
            <w:pPr>
              <w:pStyle w:val="TableContents"/>
              <w:bidi w:val="0"/>
              <w:spacing w:before="0" w:after="283"/>
              <w:jc w:val="left"/>
              <w:rPr>
                <w:sz w:val="4"/>
                <w:szCs w:val="4"/>
              </w:rPr>
            </w:pPr>
            <w:r>
              <w:rPr>
                <w:sz w:val="4"/>
                <w:szCs w:val="4"/>
              </w:rPr>
            </w:r>
          </w:p>
        </w:tc>
        <w:tc>
          <w:tcPr>
            <w:tcW w:w="66" w:type="dxa"/>
            <w:tcBorders/>
            <w:shd w:fill="FFFFFF" w:val="clear"/>
            <w:vAlign w:val="center"/>
          </w:tcPr>
          <w:p>
            <w:pPr>
              <w:pStyle w:val="TableContents"/>
              <w:bidi w:val="0"/>
              <w:spacing w:before="0" w:after="283"/>
              <w:jc w:val="left"/>
              <w:rPr>
                <w:sz w:val="4"/>
                <w:szCs w:val="4"/>
              </w:rPr>
            </w:pPr>
            <w:r>
              <w:rPr>
                <w:sz w:val="4"/>
                <w:szCs w:val="4"/>
              </w:rPr>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0" w:type="dxa"/>
            <w:tcBorders>
              <w:bottom w:val="single" w:sz="8" w:space="0" w:color="000000"/>
            </w:tcBorders>
            <w:shd w:fill="FFFFFF" w:val="clear"/>
            <w:tcMar>
              <w:bottom w:w="28" w:type="dxa"/>
            </w:tcMar>
            <w:vAlign w:val="center"/>
          </w:tcPr>
          <w:p>
            <w:pPr>
              <w:pStyle w:val="TableContents"/>
              <w:bidi w:val="0"/>
              <w:spacing w:before="0" w:after="283"/>
              <w:jc w:val="right"/>
              <w:rPr/>
            </w:pPr>
            <w:r>
              <w:rPr/>
              <w:t>8,128</w:t>
            </w:r>
          </w:p>
        </w:tc>
        <w:tc>
          <w:tcPr>
            <w:tcW w:w="108"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33" w:type="dxa"/>
            <w:tcBorders>
              <w:bottom w:val="single" w:sz="8" w:space="0" w:color="000000"/>
            </w:tcBorders>
            <w:shd w:fill="FFFFFF" w:val="clear"/>
            <w:tcMar>
              <w:bottom w:w="28" w:type="dxa"/>
            </w:tcMar>
            <w:vAlign w:val="center"/>
          </w:tcPr>
          <w:p>
            <w:pPr>
              <w:pStyle w:val="TableContents"/>
              <w:bidi w:val="0"/>
              <w:spacing w:before="0" w:after="283"/>
              <w:jc w:val="right"/>
              <w:rPr/>
            </w:pPr>
            <w:r>
              <w:rPr/>
              <w:t>15,387</w:t>
            </w:r>
          </w:p>
        </w:tc>
        <w:tc>
          <w:tcPr>
            <w:tcW w:w="97" w:type="dxa"/>
            <w:tcBorders/>
            <w:shd w:fill="FFFFFF" w:val="clear"/>
            <w:vAlign w:val="center"/>
          </w:tcPr>
          <w:p>
            <w:pPr>
              <w:pStyle w:val="TableContents"/>
              <w:bidi w:val="0"/>
              <w:spacing w:before="0" w:after="283"/>
              <w:jc w:val="left"/>
              <w:rPr>
                <w:sz w:val="4"/>
                <w:szCs w:val="4"/>
              </w:rPr>
            </w:pPr>
            <w:r>
              <w:rPr>
                <w:sz w:val="4"/>
                <w:szCs w:val="4"/>
              </w:rPr>
            </w:r>
          </w:p>
        </w:tc>
        <w:tc>
          <w:tcPr>
            <w:tcW w:w="61" w:type="dxa"/>
            <w:tcBorders/>
            <w:shd w:fill="FFFFFF" w:val="clear"/>
            <w:vAlign w:val="center"/>
          </w:tcPr>
          <w:p>
            <w:pPr>
              <w:pStyle w:val="TableContents"/>
              <w:bidi w:val="0"/>
              <w:spacing w:before="0" w:after="283"/>
              <w:jc w:val="left"/>
              <w:rPr>
                <w:sz w:val="4"/>
                <w:szCs w:val="4"/>
              </w:rPr>
            </w:pPr>
            <w:r>
              <w:rPr>
                <w:sz w:val="4"/>
                <w:szCs w:val="4"/>
              </w:rPr>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pPr>
            <w:r>
              <w:rPr/>
              <w:t>18,616</w:t>
            </w:r>
          </w:p>
        </w:tc>
        <w:tc>
          <w:tcPr>
            <w:tcW w:w="119" w:type="dxa"/>
            <w:tcBorders/>
            <w:shd w:fill="FFFFFF" w:val="clear"/>
            <w:vAlign w:val="center"/>
          </w:tcPr>
          <w:p>
            <w:pPr>
              <w:pStyle w:val="TableContents"/>
              <w:bidi w:val="0"/>
              <w:spacing w:before="0" w:after="283"/>
              <w:jc w:val="left"/>
              <w:rPr>
                <w:sz w:val="4"/>
                <w:szCs w:val="4"/>
              </w:rPr>
            </w:pPr>
            <w:r>
              <w:rPr>
                <w:sz w:val="4"/>
                <w:szCs w:val="4"/>
              </w:rPr>
            </w:r>
          </w:p>
        </w:tc>
      </w:tr>
      <w:tr>
        <w:trPr/>
        <w:tc>
          <w:tcPr>
            <w:tcW w:w="4478"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23" w:type="dxa"/>
            <w:tcBorders/>
            <w:shd w:fill="CCEEFF" w:val="clear"/>
            <w:vAlign w:val="center"/>
          </w:tcPr>
          <w:p>
            <w:pPr>
              <w:pStyle w:val="TableContents"/>
              <w:bidi w:val="0"/>
              <w:spacing w:before="0" w:after="283"/>
              <w:jc w:val="right"/>
              <w:rPr/>
            </w:pPr>
            <w:r>
              <w:rPr/>
              <w:t>(8,705</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090" w:type="dxa"/>
            <w:tcBorders/>
            <w:shd w:fill="CCEEFF" w:val="clear"/>
            <w:vAlign w:val="center"/>
          </w:tcPr>
          <w:p>
            <w:pPr>
              <w:pStyle w:val="TableContents"/>
              <w:bidi w:val="0"/>
              <w:spacing w:before="0" w:after="283"/>
              <w:jc w:val="right"/>
              <w:rPr/>
            </w:pPr>
            <w:r>
              <w:rPr/>
              <w:t>(8,256</w:t>
            </w:r>
          </w:p>
        </w:tc>
        <w:tc>
          <w:tcPr>
            <w:tcW w:w="10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1133" w:type="dxa"/>
            <w:tcBorders/>
            <w:shd w:fill="CCEEFF" w:val="clear"/>
            <w:vAlign w:val="center"/>
          </w:tcPr>
          <w:p>
            <w:pPr>
              <w:pStyle w:val="TableContents"/>
              <w:bidi w:val="0"/>
              <w:spacing w:before="0" w:after="283"/>
              <w:jc w:val="right"/>
              <w:rPr/>
            </w:pPr>
            <w:r>
              <w:rPr/>
              <w:t>(15,505</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1009" w:type="dxa"/>
            <w:tcBorders/>
            <w:shd w:fill="CCEEFF" w:val="clear"/>
            <w:vAlign w:val="center"/>
          </w:tcPr>
          <w:p>
            <w:pPr>
              <w:pStyle w:val="TableContents"/>
              <w:bidi w:val="0"/>
              <w:spacing w:before="0" w:after="283"/>
              <w:jc w:val="right"/>
              <w:rPr/>
            </w:pPr>
            <w:r>
              <w:rPr/>
              <w:t>(18,987</w:t>
            </w:r>
          </w:p>
        </w:tc>
        <w:tc>
          <w:tcPr>
            <w:tcW w:w="119" w:type="dxa"/>
            <w:tcBorders/>
            <w:shd w:fill="CCEEFF" w:val="clear"/>
            <w:vAlign w:val="center"/>
          </w:tcPr>
          <w:p>
            <w:pPr>
              <w:pStyle w:val="TableContents"/>
              <w:bidi w:val="0"/>
              <w:spacing w:before="0" w:after="283"/>
              <w:jc w:val="left"/>
              <w:rPr/>
            </w:pPr>
            <w:r>
              <w:rPr/>
              <w:t>)</w:t>
            </w:r>
          </w:p>
        </w:tc>
      </w:tr>
      <w:tr>
        <w:trPr/>
        <w:tc>
          <w:tcPr>
            <w:tcW w:w="4478" w:type="dxa"/>
            <w:tcBorders/>
            <w:shd w:fill="FFFFFF" w:val="clear"/>
            <w:vAlign w:val="center"/>
          </w:tcPr>
          <w:p>
            <w:pPr>
              <w:pStyle w:val="TableContents"/>
              <w:bidi w:val="0"/>
              <w:spacing w:before="0" w:after="283"/>
              <w:jc w:val="left"/>
              <w:rPr/>
            </w:pPr>
            <w:r>
              <w:rPr/>
              <w:t>Other (expense) income:</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sz w:val="4"/>
                <w:szCs w:val="4"/>
              </w:rPr>
            </w:pPr>
            <w:r>
              <w:rPr>
                <w:sz w:val="4"/>
                <w:szCs w:val="4"/>
              </w:rPr>
            </w:r>
          </w:p>
        </w:tc>
        <w:tc>
          <w:tcPr>
            <w:tcW w:w="1223"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sz w:val="4"/>
                <w:szCs w:val="4"/>
              </w:rPr>
            </w:pPr>
            <w:r>
              <w:rPr>
                <w:sz w:val="4"/>
                <w:szCs w:val="4"/>
              </w:rPr>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sz w:val="4"/>
                <w:szCs w:val="4"/>
              </w:rPr>
            </w:pPr>
            <w:r>
              <w:rPr>
                <w:sz w:val="4"/>
                <w:szCs w:val="4"/>
              </w:rPr>
            </w:r>
          </w:p>
        </w:tc>
        <w:tc>
          <w:tcPr>
            <w:tcW w:w="1090"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sz w:val="4"/>
                <w:szCs w:val="4"/>
              </w:rPr>
            </w:pPr>
            <w:r>
              <w:rPr>
                <w:sz w:val="4"/>
                <w:szCs w:val="4"/>
              </w:rPr>
            </w:r>
          </w:p>
        </w:tc>
        <w:tc>
          <w:tcPr>
            <w:tcW w:w="1133"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sz w:val="4"/>
                <w:szCs w:val="4"/>
              </w:rPr>
            </w:pPr>
            <w:r>
              <w:rPr>
                <w:sz w:val="4"/>
                <w:szCs w:val="4"/>
              </w:rPr>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sz w:val="4"/>
                <w:szCs w:val="4"/>
              </w:rPr>
            </w:pPr>
            <w:r>
              <w:rPr>
                <w:sz w:val="4"/>
                <w:szCs w:val="4"/>
              </w:rPr>
            </w:r>
          </w:p>
        </w:tc>
        <w:tc>
          <w:tcPr>
            <w:tcW w:w="1009"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sz w:val="4"/>
                <w:szCs w:val="4"/>
              </w:rPr>
            </w:pPr>
            <w:r>
              <w:rPr>
                <w:sz w:val="4"/>
                <w:szCs w:val="4"/>
              </w:rPr>
            </w:r>
          </w:p>
        </w:tc>
      </w:tr>
      <w:tr>
        <w:trPr/>
        <w:tc>
          <w:tcPr>
            <w:tcW w:w="4478" w:type="dxa"/>
            <w:tcBorders/>
            <w:shd w:fill="CCEEFF" w:val="clear"/>
            <w:vAlign w:val="center"/>
          </w:tcPr>
          <w:p>
            <w:pPr>
              <w:pStyle w:val="TableContents"/>
              <w:bidi w:val="0"/>
              <w:spacing w:before="0" w:after="283"/>
              <w:jc w:val="left"/>
              <w:rPr/>
            </w:pPr>
            <w:r>
              <w:rPr/>
              <w:t>Change in fair value of convertible note and warrant liabilities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23" w:type="dxa"/>
            <w:tcBorders/>
            <w:shd w:fill="CCEEFF" w:val="clear"/>
            <w:vAlign w:val="center"/>
          </w:tcPr>
          <w:p>
            <w:pPr>
              <w:pStyle w:val="TableContents"/>
              <w:bidi w:val="0"/>
              <w:spacing w:before="0" w:after="283"/>
              <w:jc w:val="right"/>
              <w:rPr/>
            </w:pPr>
            <w:r>
              <w:rPr/>
              <w:t>(593</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090" w:type="dxa"/>
            <w:tcBorders/>
            <w:shd w:fill="CCEEFF" w:val="clear"/>
            <w:vAlign w:val="center"/>
          </w:tcPr>
          <w:p>
            <w:pPr>
              <w:pStyle w:val="TableContents"/>
              <w:bidi w:val="0"/>
              <w:spacing w:before="0" w:after="283"/>
              <w:jc w:val="right"/>
              <w:rPr/>
            </w:pPr>
            <w:r>
              <w:rPr/>
              <w:t>(15</w:t>
            </w:r>
          </w:p>
        </w:tc>
        <w:tc>
          <w:tcPr>
            <w:tcW w:w="10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1133" w:type="dxa"/>
            <w:tcBorders/>
            <w:shd w:fill="CCEEFF" w:val="clear"/>
            <w:vAlign w:val="center"/>
          </w:tcPr>
          <w:p>
            <w:pPr>
              <w:pStyle w:val="TableContents"/>
              <w:bidi w:val="0"/>
              <w:spacing w:before="0" w:after="283"/>
              <w:jc w:val="right"/>
              <w:rPr/>
            </w:pPr>
            <w:r>
              <w:rPr/>
              <w:t>87</w:t>
            </w:r>
          </w:p>
        </w:tc>
        <w:tc>
          <w:tcPr>
            <w:tcW w:w="97" w:type="dxa"/>
            <w:tcBorders/>
            <w:shd w:fill="CCEEFF" w:val="clear"/>
            <w:vAlign w:val="center"/>
          </w:tcPr>
          <w:p>
            <w:pPr>
              <w:pStyle w:val="TableContents"/>
              <w:bidi w:val="0"/>
              <w:spacing w:before="0" w:after="283"/>
              <w:jc w:val="left"/>
              <w:rPr>
                <w:sz w:val="4"/>
                <w:szCs w:val="4"/>
              </w:rPr>
            </w:pPr>
            <w:r>
              <w:rPr>
                <w:sz w:val="4"/>
                <w:szCs w:val="4"/>
              </w:rPr>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1009" w:type="dxa"/>
            <w:tcBorders/>
            <w:shd w:fill="CCEEFF" w:val="clear"/>
            <w:vAlign w:val="center"/>
          </w:tcPr>
          <w:p>
            <w:pPr>
              <w:pStyle w:val="TableContents"/>
              <w:bidi w:val="0"/>
              <w:spacing w:before="0" w:after="283"/>
              <w:jc w:val="right"/>
              <w:rPr/>
            </w:pPr>
            <w:r>
              <w:rPr/>
              <w:t>(13</w:t>
            </w:r>
          </w:p>
        </w:tc>
        <w:tc>
          <w:tcPr>
            <w:tcW w:w="119" w:type="dxa"/>
            <w:tcBorders/>
            <w:shd w:fill="CCEEFF" w:val="clear"/>
            <w:vAlign w:val="center"/>
          </w:tcPr>
          <w:p>
            <w:pPr>
              <w:pStyle w:val="TableContents"/>
              <w:bidi w:val="0"/>
              <w:spacing w:before="0" w:after="283"/>
              <w:jc w:val="left"/>
              <w:rPr/>
            </w:pPr>
            <w:r>
              <w:rPr/>
              <w:t>)</w:t>
            </w:r>
          </w:p>
        </w:tc>
      </w:tr>
      <w:tr>
        <w:trPr/>
        <w:tc>
          <w:tcPr>
            <w:tcW w:w="4478" w:type="dxa"/>
            <w:tcBorders/>
            <w:shd w:fill="FFFFFF" w:val="clear"/>
            <w:vAlign w:val="center"/>
          </w:tcPr>
          <w:p>
            <w:pPr>
              <w:pStyle w:val="TableContents"/>
              <w:bidi w:val="0"/>
              <w:spacing w:before="0" w:after="283"/>
              <w:jc w:val="left"/>
              <w:rPr/>
            </w:pPr>
            <w:r>
              <w:rPr/>
              <w:t>Interest income and other</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sz w:val="4"/>
                <w:szCs w:val="4"/>
              </w:rPr>
            </w:pPr>
            <w:r>
              <w:rPr>
                <w:sz w:val="4"/>
                <w:szCs w:val="4"/>
              </w:rPr>
            </w:r>
          </w:p>
        </w:tc>
        <w:tc>
          <w:tcPr>
            <w:tcW w:w="1223" w:type="dxa"/>
            <w:tcBorders/>
            <w:shd w:fill="FFFFFF" w:val="clear"/>
            <w:vAlign w:val="center"/>
          </w:tcPr>
          <w:p>
            <w:pPr>
              <w:pStyle w:val="TableContents"/>
              <w:bidi w:val="0"/>
              <w:spacing w:before="0" w:after="283"/>
              <w:jc w:val="right"/>
              <w:rPr/>
            </w:pPr>
            <w:r>
              <w:rPr/>
              <w:t>393</w:t>
            </w:r>
          </w:p>
        </w:tc>
        <w:tc>
          <w:tcPr>
            <w:tcW w:w="105" w:type="dxa"/>
            <w:tcBorders/>
            <w:shd w:fill="FFFFFF" w:val="clear"/>
            <w:vAlign w:val="center"/>
          </w:tcPr>
          <w:p>
            <w:pPr>
              <w:pStyle w:val="TableContents"/>
              <w:bidi w:val="0"/>
              <w:spacing w:before="0" w:after="283"/>
              <w:jc w:val="left"/>
              <w:rPr>
                <w:sz w:val="4"/>
                <w:szCs w:val="4"/>
              </w:rPr>
            </w:pPr>
            <w:r>
              <w:rPr>
                <w:sz w:val="4"/>
                <w:szCs w:val="4"/>
              </w:rPr>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sz w:val="4"/>
                <w:szCs w:val="4"/>
              </w:rPr>
            </w:pPr>
            <w:r>
              <w:rPr>
                <w:sz w:val="4"/>
                <w:szCs w:val="4"/>
              </w:rPr>
            </w:r>
          </w:p>
        </w:tc>
        <w:tc>
          <w:tcPr>
            <w:tcW w:w="1090" w:type="dxa"/>
            <w:tcBorders/>
            <w:shd w:fill="FFFFFF" w:val="clear"/>
            <w:vAlign w:val="center"/>
          </w:tcPr>
          <w:p>
            <w:pPr>
              <w:pStyle w:val="TableContents"/>
              <w:bidi w:val="0"/>
              <w:spacing w:before="0" w:after="283"/>
              <w:jc w:val="right"/>
              <w:rPr/>
            </w:pPr>
            <w:r>
              <w:rPr/>
              <w:t>228</w:t>
            </w:r>
          </w:p>
        </w:tc>
        <w:tc>
          <w:tcPr>
            <w:tcW w:w="108"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sz w:val="4"/>
                <w:szCs w:val="4"/>
              </w:rPr>
            </w:pPr>
            <w:r>
              <w:rPr>
                <w:sz w:val="4"/>
                <w:szCs w:val="4"/>
              </w:rPr>
            </w:r>
          </w:p>
        </w:tc>
        <w:tc>
          <w:tcPr>
            <w:tcW w:w="1133" w:type="dxa"/>
            <w:tcBorders/>
            <w:shd w:fill="FFFFFF" w:val="clear"/>
            <w:vAlign w:val="center"/>
          </w:tcPr>
          <w:p>
            <w:pPr>
              <w:pStyle w:val="TableContents"/>
              <w:bidi w:val="0"/>
              <w:spacing w:before="0" w:after="283"/>
              <w:jc w:val="right"/>
              <w:rPr/>
            </w:pPr>
            <w:r>
              <w:rPr/>
              <w:t>607</w:t>
            </w:r>
          </w:p>
        </w:tc>
        <w:tc>
          <w:tcPr>
            <w:tcW w:w="97" w:type="dxa"/>
            <w:tcBorders/>
            <w:shd w:fill="FFFFFF" w:val="clear"/>
            <w:vAlign w:val="center"/>
          </w:tcPr>
          <w:p>
            <w:pPr>
              <w:pStyle w:val="TableContents"/>
              <w:bidi w:val="0"/>
              <w:spacing w:before="0" w:after="283"/>
              <w:jc w:val="left"/>
              <w:rPr>
                <w:sz w:val="4"/>
                <w:szCs w:val="4"/>
              </w:rPr>
            </w:pPr>
            <w:r>
              <w:rPr>
                <w:sz w:val="4"/>
                <w:szCs w:val="4"/>
              </w:rPr>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sz w:val="4"/>
                <w:szCs w:val="4"/>
              </w:rPr>
            </w:pPr>
            <w:r>
              <w:rPr>
                <w:sz w:val="4"/>
                <w:szCs w:val="4"/>
              </w:rPr>
            </w:r>
          </w:p>
        </w:tc>
        <w:tc>
          <w:tcPr>
            <w:tcW w:w="1009" w:type="dxa"/>
            <w:tcBorders/>
            <w:shd w:fill="FFFFFF" w:val="clear"/>
            <w:vAlign w:val="center"/>
          </w:tcPr>
          <w:p>
            <w:pPr>
              <w:pStyle w:val="TableContents"/>
              <w:bidi w:val="0"/>
              <w:spacing w:before="0" w:after="283"/>
              <w:jc w:val="right"/>
              <w:rPr/>
            </w:pPr>
            <w:r>
              <w:rPr/>
              <w:t>423</w:t>
            </w:r>
          </w:p>
        </w:tc>
        <w:tc>
          <w:tcPr>
            <w:tcW w:w="119" w:type="dxa"/>
            <w:tcBorders/>
            <w:shd w:fill="FFFFFF" w:val="clear"/>
            <w:vAlign w:val="center"/>
          </w:tcPr>
          <w:p>
            <w:pPr>
              <w:pStyle w:val="TableContents"/>
              <w:bidi w:val="0"/>
              <w:spacing w:before="0" w:after="283"/>
              <w:jc w:val="left"/>
              <w:rPr>
                <w:sz w:val="4"/>
                <w:szCs w:val="4"/>
              </w:rPr>
            </w:pPr>
            <w:r>
              <w:rPr>
                <w:sz w:val="4"/>
                <w:szCs w:val="4"/>
              </w:rPr>
            </w:r>
          </w:p>
        </w:tc>
      </w:tr>
      <w:tr>
        <w:trPr/>
        <w:tc>
          <w:tcPr>
            <w:tcW w:w="4478" w:type="dxa"/>
            <w:tcBorders/>
            <w:shd w:fill="CCEEFF" w:val="clear"/>
            <w:vAlign w:val="center"/>
          </w:tcPr>
          <w:p>
            <w:pPr>
              <w:pStyle w:val="TableContents"/>
              <w:bidi w:val="0"/>
              <w:spacing w:before="0" w:after="283"/>
              <w:jc w:val="left"/>
              <w:rPr/>
            </w:pPr>
            <w:r>
              <w:rPr/>
              <w:t>Interest expense and other</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223" w:type="dxa"/>
            <w:tcBorders>
              <w:bottom w:val="single" w:sz="8" w:space="0" w:color="000000"/>
            </w:tcBorders>
            <w:shd w:fill="CCEEFF" w:val="clear"/>
            <w:tcMar>
              <w:bottom w:w="28" w:type="dxa"/>
            </w:tcMar>
            <w:vAlign w:val="center"/>
          </w:tcPr>
          <w:p>
            <w:pPr>
              <w:pStyle w:val="TableContents"/>
              <w:bidi w:val="0"/>
              <w:spacing w:before="0" w:after="283"/>
              <w:jc w:val="right"/>
              <w:rPr/>
            </w:pPr>
            <w:r>
              <w:rPr/>
              <w:t>(365</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0" w:type="dxa"/>
            <w:tcBorders>
              <w:bottom w:val="single" w:sz="8" w:space="0" w:color="000000"/>
            </w:tcBorders>
            <w:shd w:fill="CCEEFF" w:val="clear"/>
            <w:tcMar>
              <w:bottom w:w="28" w:type="dxa"/>
            </w:tcMar>
            <w:vAlign w:val="center"/>
          </w:tcPr>
          <w:p>
            <w:pPr>
              <w:pStyle w:val="TableContents"/>
              <w:bidi w:val="0"/>
              <w:spacing w:before="0" w:after="283"/>
              <w:jc w:val="right"/>
              <w:rPr/>
            </w:pPr>
            <w:r>
              <w:rPr/>
              <w:t>56</w:t>
            </w:r>
          </w:p>
        </w:tc>
        <w:tc>
          <w:tcPr>
            <w:tcW w:w="10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33" w:type="dxa"/>
            <w:tcBorders>
              <w:bottom w:val="single" w:sz="8" w:space="0" w:color="000000"/>
            </w:tcBorders>
            <w:shd w:fill="CCEEFF" w:val="clear"/>
            <w:tcMar>
              <w:bottom w:w="28" w:type="dxa"/>
            </w:tcMar>
            <w:vAlign w:val="center"/>
          </w:tcPr>
          <w:p>
            <w:pPr>
              <w:pStyle w:val="TableContents"/>
              <w:bidi w:val="0"/>
              <w:spacing w:before="0" w:after="283"/>
              <w:jc w:val="right"/>
              <w:rPr/>
            </w:pPr>
            <w:r>
              <w:rPr/>
              <w:t>(2,473</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pPr>
            <w:r>
              <w:rPr/>
              <w:t>373</w:t>
            </w:r>
          </w:p>
        </w:tc>
        <w:tc>
          <w:tcPr>
            <w:tcW w:w="119" w:type="dxa"/>
            <w:tcBorders/>
            <w:shd w:fill="CCEEFF" w:val="clear"/>
            <w:vAlign w:val="center"/>
          </w:tcPr>
          <w:p>
            <w:pPr>
              <w:pStyle w:val="TableContents"/>
              <w:bidi w:val="0"/>
              <w:spacing w:before="0" w:after="283"/>
              <w:jc w:val="left"/>
              <w:rPr>
                <w:sz w:val="4"/>
                <w:szCs w:val="4"/>
              </w:rPr>
            </w:pPr>
            <w:r>
              <w:rPr>
                <w:sz w:val="4"/>
                <w:szCs w:val="4"/>
              </w:rPr>
            </w:r>
          </w:p>
        </w:tc>
      </w:tr>
      <w:tr>
        <w:trPr/>
        <w:tc>
          <w:tcPr>
            <w:tcW w:w="4478" w:type="dxa"/>
            <w:tcBorders/>
            <w:shd w:fill="FFFFFF" w:val="clear"/>
            <w:vAlign w:val="center"/>
          </w:tcPr>
          <w:p>
            <w:pPr>
              <w:pStyle w:val="TableContents"/>
              <w:bidi w:val="0"/>
              <w:spacing w:before="0" w:after="283"/>
              <w:jc w:val="left"/>
              <w:rPr/>
            </w:pPr>
            <w:r>
              <w:rPr/>
              <w:t>Total other (expense) income, net</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223" w:type="dxa"/>
            <w:tcBorders>
              <w:bottom w:val="single" w:sz="8" w:space="0" w:color="000000"/>
            </w:tcBorders>
            <w:shd w:fill="FFFFFF" w:val="clear"/>
            <w:tcMar>
              <w:bottom w:w="28" w:type="dxa"/>
            </w:tcMar>
            <w:vAlign w:val="center"/>
          </w:tcPr>
          <w:p>
            <w:pPr>
              <w:pStyle w:val="TableContents"/>
              <w:bidi w:val="0"/>
              <w:spacing w:before="0" w:after="283"/>
              <w:jc w:val="right"/>
              <w:rPr/>
            </w:pPr>
            <w:r>
              <w:rPr/>
              <w:t>(565</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sz w:val="4"/>
                <w:szCs w:val="4"/>
              </w:rPr>
            </w:pPr>
            <w:r>
              <w:rPr>
                <w:sz w:val="4"/>
                <w:szCs w:val="4"/>
              </w:rPr>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0" w:type="dxa"/>
            <w:tcBorders>
              <w:bottom w:val="single" w:sz="8" w:space="0" w:color="000000"/>
            </w:tcBorders>
            <w:shd w:fill="FFFFFF" w:val="clear"/>
            <w:tcMar>
              <w:bottom w:w="28" w:type="dxa"/>
            </w:tcMar>
            <w:vAlign w:val="center"/>
          </w:tcPr>
          <w:p>
            <w:pPr>
              <w:pStyle w:val="TableContents"/>
              <w:bidi w:val="0"/>
              <w:spacing w:before="0" w:after="283"/>
              <w:jc w:val="right"/>
              <w:rPr/>
            </w:pPr>
            <w:r>
              <w:rPr/>
              <w:t>269</w:t>
            </w:r>
          </w:p>
        </w:tc>
        <w:tc>
          <w:tcPr>
            <w:tcW w:w="108"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33" w:type="dxa"/>
            <w:tcBorders>
              <w:bottom w:val="single" w:sz="8" w:space="0" w:color="000000"/>
            </w:tcBorders>
            <w:shd w:fill="FFFFFF" w:val="clear"/>
            <w:tcMar>
              <w:bottom w:w="28" w:type="dxa"/>
            </w:tcMar>
            <w:vAlign w:val="center"/>
          </w:tcPr>
          <w:p>
            <w:pPr>
              <w:pStyle w:val="TableContents"/>
              <w:bidi w:val="0"/>
              <w:spacing w:before="0" w:after="283"/>
              <w:jc w:val="right"/>
              <w:rPr/>
            </w:pPr>
            <w:r>
              <w:rPr/>
              <w:t>(1,779</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sz w:val="4"/>
                <w:szCs w:val="4"/>
              </w:rPr>
            </w:pPr>
            <w:r>
              <w:rPr>
                <w:sz w:val="4"/>
                <w:szCs w:val="4"/>
              </w:rPr>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pPr>
            <w:r>
              <w:rPr/>
              <w:t>783</w:t>
            </w:r>
          </w:p>
        </w:tc>
        <w:tc>
          <w:tcPr>
            <w:tcW w:w="119" w:type="dxa"/>
            <w:tcBorders/>
            <w:shd w:fill="FFFFFF" w:val="clear"/>
            <w:vAlign w:val="center"/>
          </w:tcPr>
          <w:p>
            <w:pPr>
              <w:pStyle w:val="TableContents"/>
              <w:bidi w:val="0"/>
              <w:spacing w:before="0" w:after="283"/>
              <w:jc w:val="left"/>
              <w:rPr>
                <w:sz w:val="4"/>
                <w:szCs w:val="4"/>
              </w:rPr>
            </w:pPr>
            <w:r>
              <w:rPr>
                <w:sz w:val="4"/>
                <w:szCs w:val="4"/>
              </w:rPr>
            </w:r>
          </w:p>
        </w:tc>
      </w:tr>
      <w:tr>
        <w:trPr/>
        <w:tc>
          <w:tcPr>
            <w:tcW w:w="4478" w:type="dxa"/>
            <w:tcBorders/>
            <w:shd w:fill="CCEEFF" w:val="clear"/>
            <w:vAlign w:val="center"/>
          </w:tcPr>
          <w:p>
            <w:pPr>
              <w:pStyle w:val="TableContents"/>
              <w:bidi w:val="0"/>
              <w:spacing w:before="0" w:after="283"/>
              <w:jc w:val="left"/>
              <w:rPr/>
            </w:pPr>
            <w:r>
              <w:rPr/>
              <w:t>Loss before income tax</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23" w:type="dxa"/>
            <w:tcBorders/>
            <w:shd w:fill="CCEEFF" w:val="clear"/>
            <w:vAlign w:val="center"/>
          </w:tcPr>
          <w:p>
            <w:pPr>
              <w:pStyle w:val="TableContents"/>
              <w:bidi w:val="0"/>
              <w:spacing w:before="0" w:after="283"/>
              <w:jc w:val="right"/>
              <w:rPr/>
            </w:pPr>
            <w:r>
              <w:rPr/>
              <w:t>(9,270</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090" w:type="dxa"/>
            <w:tcBorders/>
            <w:shd w:fill="CCEEFF" w:val="clear"/>
            <w:vAlign w:val="center"/>
          </w:tcPr>
          <w:p>
            <w:pPr>
              <w:pStyle w:val="TableContents"/>
              <w:bidi w:val="0"/>
              <w:spacing w:before="0" w:after="283"/>
              <w:jc w:val="right"/>
              <w:rPr/>
            </w:pPr>
            <w:r>
              <w:rPr/>
              <w:t>(7,987</w:t>
            </w:r>
          </w:p>
        </w:tc>
        <w:tc>
          <w:tcPr>
            <w:tcW w:w="10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1133" w:type="dxa"/>
            <w:tcBorders/>
            <w:shd w:fill="CCEEFF" w:val="clear"/>
            <w:vAlign w:val="center"/>
          </w:tcPr>
          <w:p>
            <w:pPr>
              <w:pStyle w:val="TableContents"/>
              <w:bidi w:val="0"/>
              <w:spacing w:before="0" w:after="283"/>
              <w:jc w:val="right"/>
              <w:rPr/>
            </w:pPr>
            <w:r>
              <w:rPr/>
              <w:t>(17,284</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1009" w:type="dxa"/>
            <w:tcBorders/>
            <w:shd w:fill="CCEEFF" w:val="clear"/>
            <w:vAlign w:val="center"/>
          </w:tcPr>
          <w:p>
            <w:pPr>
              <w:pStyle w:val="TableContents"/>
              <w:bidi w:val="0"/>
              <w:spacing w:before="0" w:after="283"/>
              <w:jc w:val="right"/>
              <w:rPr/>
            </w:pPr>
            <w:r>
              <w:rPr/>
              <w:t>(18,204</w:t>
            </w:r>
          </w:p>
        </w:tc>
        <w:tc>
          <w:tcPr>
            <w:tcW w:w="119" w:type="dxa"/>
            <w:tcBorders/>
            <w:shd w:fill="CCEEFF" w:val="clear"/>
            <w:vAlign w:val="center"/>
          </w:tcPr>
          <w:p>
            <w:pPr>
              <w:pStyle w:val="TableContents"/>
              <w:bidi w:val="0"/>
              <w:spacing w:before="0" w:after="283"/>
              <w:jc w:val="left"/>
              <w:rPr/>
            </w:pPr>
            <w:r>
              <w:rPr/>
              <w:t>)</w:t>
            </w:r>
          </w:p>
        </w:tc>
      </w:tr>
      <w:tr>
        <w:trPr/>
        <w:tc>
          <w:tcPr>
            <w:tcW w:w="4478" w:type="dxa"/>
            <w:tcBorders/>
            <w:shd w:fill="FFFFFF" w:val="clear"/>
            <w:vAlign w:val="center"/>
          </w:tcPr>
          <w:p>
            <w:pPr>
              <w:pStyle w:val="TableContents"/>
              <w:bidi w:val="0"/>
              <w:spacing w:before="0" w:after="283"/>
              <w:jc w:val="left"/>
              <w:rPr/>
            </w:pPr>
            <w:r>
              <w:rPr/>
              <w:t>Provision for income tax</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22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sz w:val="4"/>
                <w:szCs w:val="4"/>
              </w:rPr>
            </w:pPr>
            <w:r>
              <w:rPr>
                <w:sz w:val="4"/>
                <w:szCs w:val="4"/>
              </w:rPr>
            </w:r>
          </w:p>
        </w:tc>
        <w:tc>
          <w:tcPr>
            <w:tcW w:w="66" w:type="dxa"/>
            <w:tcBorders/>
            <w:shd w:fill="FFFFFF" w:val="clear"/>
            <w:vAlign w:val="center"/>
          </w:tcPr>
          <w:p>
            <w:pPr>
              <w:pStyle w:val="TableContents"/>
              <w:bidi w:val="0"/>
              <w:spacing w:before="0" w:after="283"/>
              <w:jc w:val="left"/>
              <w:rPr>
                <w:sz w:val="4"/>
                <w:szCs w:val="4"/>
              </w:rPr>
            </w:pPr>
            <w:r>
              <w:rPr>
                <w:sz w:val="4"/>
                <w:szCs w:val="4"/>
              </w:rPr>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33"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97" w:type="dxa"/>
            <w:tcBorders/>
            <w:shd w:fill="FFFFFF" w:val="clear"/>
            <w:vAlign w:val="center"/>
          </w:tcPr>
          <w:p>
            <w:pPr>
              <w:pStyle w:val="TableContents"/>
              <w:bidi w:val="0"/>
              <w:spacing w:before="0" w:after="283"/>
              <w:jc w:val="left"/>
              <w:rPr>
                <w:sz w:val="4"/>
                <w:szCs w:val="4"/>
              </w:rPr>
            </w:pPr>
            <w:r>
              <w:rPr>
                <w:sz w:val="4"/>
                <w:szCs w:val="4"/>
              </w:rPr>
            </w:r>
          </w:p>
        </w:tc>
        <w:tc>
          <w:tcPr>
            <w:tcW w:w="61" w:type="dxa"/>
            <w:tcBorders/>
            <w:shd w:fill="FFFFFF" w:val="clear"/>
            <w:vAlign w:val="center"/>
          </w:tcPr>
          <w:p>
            <w:pPr>
              <w:pStyle w:val="TableContents"/>
              <w:bidi w:val="0"/>
              <w:spacing w:before="0" w:after="283"/>
              <w:jc w:val="left"/>
              <w:rPr>
                <w:sz w:val="4"/>
                <w:szCs w:val="4"/>
              </w:rPr>
            </w:pPr>
            <w:r>
              <w:rPr>
                <w:sz w:val="4"/>
                <w:szCs w:val="4"/>
              </w:rPr>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119" w:type="dxa"/>
            <w:tcBorders/>
            <w:shd w:fill="FFFFFF" w:val="clear"/>
            <w:vAlign w:val="center"/>
          </w:tcPr>
          <w:p>
            <w:pPr>
              <w:pStyle w:val="TableContents"/>
              <w:bidi w:val="0"/>
              <w:spacing w:before="0" w:after="283"/>
              <w:jc w:val="left"/>
              <w:rPr>
                <w:sz w:val="4"/>
                <w:szCs w:val="4"/>
              </w:rPr>
            </w:pPr>
            <w:r>
              <w:rPr>
                <w:sz w:val="4"/>
                <w:szCs w:val="4"/>
              </w:rPr>
            </w:r>
          </w:p>
        </w:tc>
      </w:tr>
      <w:tr>
        <w:trPr/>
        <w:tc>
          <w:tcPr>
            <w:tcW w:w="4478"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3" w:type="dxa"/>
            <w:tcBorders>
              <w:bottom w:val="double" w:sz="6" w:space="0" w:color="000000"/>
            </w:tcBorders>
            <w:shd w:fill="CCEEFF" w:val="clear"/>
            <w:tcMar>
              <w:bottom w:w="28" w:type="dxa"/>
            </w:tcMar>
            <w:vAlign w:val="center"/>
          </w:tcPr>
          <w:p>
            <w:pPr>
              <w:pStyle w:val="TableContents"/>
              <w:bidi w:val="0"/>
              <w:spacing w:before="0" w:after="283"/>
              <w:jc w:val="right"/>
              <w:rPr/>
            </w:pPr>
            <w:r>
              <w:rPr/>
              <w:t>(9,270</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90" w:type="dxa"/>
            <w:tcBorders>
              <w:bottom w:val="double" w:sz="6" w:space="0" w:color="000000"/>
            </w:tcBorders>
            <w:shd w:fill="CCEEFF" w:val="clear"/>
            <w:tcMar>
              <w:bottom w:w="28" w:type="dxa"/>
            </w:tcMar>
            <w:vAlign w:val="center"/>
          </w:tcPr>
          <w:p>
            <w:pPr>
              <w:pStyle w:val="TableContents"/>
              <w:bidi w:val="0"/>
              <w:spacing w:before="0" w:after="283"/>
              <w:jc w:val="right"/>
              <w:rPr/>
            </w:pPr>
            <w:r>
              <w:rPr/>
              <w:t>(7,987</w:t>
            </w:r>
          </w:p>
        </w:tc>
        <w:tc>
          <w:tcPr>
            <w:tcW w:w="10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3" w:type="dxa"/>
            <w:tcBorders>
              <w:bottom w:val="double" w:sz="6" w:space="0" w:color="000000"/>
            </w:tcBorders>
            <w:shd w:fill="CCEEFF" w:val="clear"/>
            <w:tcMar>
              <w:bottom w:w="28" w:type="dxa"/>
            </w:tcMar>
            <w:vAlign w:val="center"/>
          </w:tcPr>
          <w:p>
            <w:pPr>
              <w:pStyle w:val="TableContents"/>
              <w:bidi w:val="0"/>
              <w:spacing w:before="0" w:after="283"/>
              <w:jc w:val="right"/>
              <w:rPr/>
            </w:pPr>
            <w:r>
              <w:rPr/>
              <w:t>(17,286</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09" w:type="dxa"/>
            <w:tcBorders>
              <w:bottom w:val="double" w:sz="6" w:space="0" w:color="000000"/>
            </w:tcBorders>
            <w:shd w:fill="CCEEFF" w:val="clear"/>
            <w:tcMar>
              <w:bottom w:w="28" w:type="dxa"/>
            </w:tcMar>
            <w:vAlign w:val="center"/>
          </w:tcPr>
          <w:p>
            <w:pPr>
              <w:pStyle w:val="TableContents"/>
              <w:bidi w:val="0"/>
              <w:spacing w:before="0" w:after="283"/>
              <w:jc w:val="right"/>
              <w:rPr/>
            </w:pPr>
            <w:r>
              <w:rPr/>
              <w:t>(18,206</w:t>
            </w:r>
          </w:p>
        </w:tc>
        <w:tc>
          <w:tcPr>
            <w:tcW w:w="119" w:type="dxa"/>
            <w:tcBorders/>
            <w:shd w:fill="CCEEFF" w:val="clear"/>
            <w:vAlign w:val="center"/>
          </w:tcPr>
          <w:p>
            <w:pPr>
              <w:pStyle w:val="TableContents"/>
              <w:bidi w:val="0"/>
              <w:spacing w:before="0" w:after="283"/>
              <w:jc w:val="left"/>
              <w:rPr/>
            </w:pPr>
            <w:r>
              <w:rPr/>
              <w:t>)</w:t>
            </w:r>
          </w:p>
        </w:tc>
      </w:tr>
      <w:tr>
        <w:trPr/>
        <w:tc>
          <w:tcPr>
            <w:tcW w:w="4478"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sz w:val="4"/>
                <w:szCs w:val="4"/>
              </w:rPr>
            </w:pPr>
            <w:r>
              <w:rPr>
                <w:sz w:val="4"/>
                <w:szCs w:val="4"/>
              </w:rPr>
            </w:r>
          </w:p>
        </w:tc>
        <w:tc>
          <w:tcPr>
            <w:tcW w:w="1223"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sz w:val="4"/>
                <w:szCs w:val="4"/>
              </w:rPr>
            </w:pPr>
            <w:r>
              <w:rPr>
                <w:sz w:val="4"/>
                <w:szCs w:val="4"/>
              </w:rPr>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sz w:val="4"/>
                <w:szCs w:val="4"/>
              </w:rPr>
            </w:pPr>
            <w:r>
              <w:rPr>
                <w:sz w:val="4"/>
                <w:szCs w:val="4"/>
              </w:rPr>
            </w:r>
          </w:p>
        </w:tc>
        <w:tc>
          <w:tcPr>
            <w:tcW w:w="1090"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sz w:val="4"/>
                <w:szCs w:val="4"/>
              </w:rPr>
            </w:pPr>
            <w:r>
              <w:rPr>
                <w:sz w:val="4"/>
                <w:szCs w:val="4"/>
              </w:rPr>
            </w:r>
          </w:p>
        </w:tc>
        <w:tc>
          <w:tcPr>
            <w:tcW w:w="1133"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sz w:val="4"/>
                <w:szCs w:val="4"/>
              </w:rPr>
            </w:pPr>
            <w:r>
              <w:rPr>
                <w:sz w:val="4"/>
                <w:szCs w:val="4"/>
              </w:rPr>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sz w:val="4"/>
                <w:szCs w:val="4"/>
              </w:rPr>
            </w:pPr>
            <w:r>
              <w:rPr>
                <w:sz w:val="4"/>
                <w:szCs w:val="4"/>
              </w:rPr>
            </w:r>
          </w:p>
        </w:tc>
        <w:tc>
          <w:tcPr>
            <w:tcW w:w="1009"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sz w:val="4"/>
                <w:szCs w:val="4"/>
              </w:rPr>
            </w:pPr>
            <w:r>
              <w:rPr>
                <w:sz w:val="4"/>
                <w:szCs w:val="4"/>
              </w:rPr>
            </w:r>
          </w:p>
        </w:tc>
      </w:tr>
      <w:tr>
        <w:trPr/>
        <w:tc>
          <w:tcPr>
            <w:tcW w:w="4478" w:type="dxa"/>
            <w:tcBorders/>
            <w:shd w:fill="CCEEFF" w:val="clear"/>
            <w:vAlign w:val="center"/>
          </w:tcPr>
          <w:p>
            <w:pPr>
              <w:pStyle w:val="TableContents"/>
              <w:bidi w:val="0"/>
              <w:spacing w:before="0" w:after="283"/>
              <w:jc w:val="left"/>
              <w:rPr/>
            </w:pPr>
            <w:r>
              <w:rPr/>
              <w:t>Per Share Data</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23"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sz w:val="4"/>
                <w:szCs w:val="4"/>
              </w:rPr>
            </w:pPr>
            <w:r>
              <w:rPr>
                <w:sz w:val="4"/>
                <w:szCs w:val="4"/>
              </w:rPr>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090"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113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sz w:val="4"/>
                <w:szCs w:val="4"/>
              </w:rPr>
            </w:pPr>
            <w:r>
              <w:rPr>
                <w:sz w:val="4"/>
                <w:szCs w:val="4"/>
              </w:rPr>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1009"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r>
      <w:tr>
        <w:trPr/>
        <w:tc>
          <w:tcPr>
            <w:tcW w:w="4478" w:type="dxa"/>
            <w:tcBorders/>
            <w:shd w:fill="FFFFFF" w:val="clear"/>
            <w:vAlign w:val="center"/>
          </w:tcPr>
          <w:p>
            <w:pPr>
              <w:pStyle w:val="TableContents"/>
              <w:bidi w:val="0"/>
              <w:spacing w:before="0" w:after="283"/>
              <w:jc w:val="left"/>
              <w:rPr/>
            </w:pPr>
            <w:r>
              <w:rPr/>
              <w:t>Net loss per common share (basic and diluted)</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3" w:type="dxa"/>
            <w:tcBorders>
              <w:bottom w:val="double" w:sz="6" w:space="0" w:color="000000"/>
            </w:tcBorders>
            <w:shd w:fill="FFFFFF" w:val="clear"/>
            <w:tcMar>
              <w:bottom w:w="28" w:type="dxa"/>
            </w:tcMar>
            <w:vAlign w:val="center"/>
          </w:tcPr>
          <w:p>
            <w:pPr>
              <w:pStyle w:val="TableContents"/>
              <w:bidi w:val="0"/>
              <w:spacing w:before="0" w:after="283"/>
              <w:jc w:val="right"/>
              <w:rPr/>
            </w:pPr>
            <w:r>
              <w:rPr/>
              <w:t>(0.48</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sz w:val="4"/>
                <w:szCs w:val="4"/>
              </w:rPr>
            </w:pPr>
            <w:r>
              <w:rPr>
                <w:sz w:val="4"/>
                <w:szCs w:val="4"/>
              </w:rPr>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90" w:type="dxa"/>
            <w:tcBorders>
              <w:bottom w:val="double" w:sz="6" w:space="0" w:color="000000"/>
            </w:tcBorders>
            <w:shd w:fill="FFFFFF" w:val="clear"/>
            <w:tcMar>
              <w:bottom w:w="28" w:type="dxa"/>
            </w:tcMar>
            <w:vAlign w:val="center"/>
          </w:tcPr>
          <w:p>
            <w:pPr>
              <w:pStyle w:val="TableContents"/>
              <w:bidi w:val="0"/>
              <w:spacing w:before="0" w:after="283"/>
              <w:jc w:val="right"/>
              <w:rPr/>
            </w:pPr>
            <w:r>
              <w:rPr/>
              <w:t>(1.16</w:t>
            </w:r>
          </w:p>
        </w:tc>
        <w:tc>
          <w:tcPr>
            <w:tcW w:w="10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3" w:type="dxa"/>
            <w:tcBorders>
              <w:bottom w:val="double" w:sz="6" w:space="0" w:color="000000"/>
            </w:tcBorders>
            <w:shd w:fill="FFFFFF" w:val="clear"/>
            <w:tcMar>
              <w:bottom w:w="28" w:type="dxa"/>
            </w:tcMar>
            <w:vAlign w:val="center"/>
          </w:tcPr>
          <w:p>
            <w:pPr>
              <w:pStyle w:val="TableContents"/>
              <w:bidi w:val="0"/>
              <w:spacing w:before="0" w:after="283"/>
              <w:jc w:val="right"/>
              <w:rPr/>
            </w:pPr>
            <w:r>
              <w:rPr/>
              <w:t>(0.95</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sz w:val="4"/>
                <w:szCs w:val="4"/>
              </w:rPr>
            </w:pPr>
            <w:r>
              <w:rPr>
                <w:sz w:val="4"/>
                <w:szCs w:val="4"/>
              </w:rPr>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09" w:type="dxa"/>
            <w:tcBorders>
              <w:bottom w:val="double" w:sz="6" w:space="0" w:color="000000"/>
            </w:tcBorders>
            <w:shd w:fill="FFFFFF" w:val="clear"/>
            <w:tcMar>
              <w:bottom w:w="28" w:type="dxa"/>
            </w:tcMar>
            <w:vAlign w:val="center"/>
          </w:tcPr>
          <w:p>
            <w:pPr>
              <w:pStyle w:val="TableContents"/>
              <w:bidi w:val="0"/>
              <w:spacing w:before="0" w:after="283"/>
              <w:jc w:val="right"/>
              <w:rPr/>
            </w:pPr>
            <w:r>
              <w:rPr/>
              <w:t>(2.80</w:t>
            </w:r>
          </w:p>
        </w:tc>
        <w:tc>
          <w:tcPr>
            <w:tcW w:w="119" w:type="dxa"/>
            <w:tcBorders/>
            <w:shd w:fill="FFFFFF" w:val="clear"/>
            <w:vAlign w:val="center"/>
          </w:tcPr>
          <w:p>
            <w:pPr>
              <w:pStyle w:val="TableContents"/>
              <w:bidi w:val="0"/>
              <w:spacing w:before="0" w:after="283"/>
              <w:jc w:val="left"/>
              <w:rPr/>
            </w:pPr>
            <w:r>
              <w:rPr/>
              <w:t>)</w:t>
            </w:r>
          </w:p>
        </w:tc>
      </w:tr>
      <w:tr>
        <w:trPr/>
        <w:tc>
          <w:tcPr>
            <w:tcW w:w="44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23"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sz w:val="4"/>
                <w:szCs w:val="4"/>
              </w:rPr>
            </w:pPr>
            <w:r>
              <w:rPr>
                <w:sz w:val="4"/>
                <w:szCs w:val="4"/>
              </w:rPr>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090"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113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sz w:val="4"/>
                <w:szCs w:val="4"/>
              </w:rPr>
            </w:pPr>
            <w:r>
              <w:rPr>
                <w:sz w:val="4"/>
                <w:szCs w:val="4"/>
              </w:rPr>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1009"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r>
      <w:tr>
        <w:trPr/>
        <w:tc>
          <w:tcPr>
            <w:tcW w:w="4478" w:type="dxa"/>
            <w:tcBorders/>
            <w:shd w:fill="FFFFFF" w:val="clear"/>
            <w:vAlign w:val="center"/>
          </w:tcPr>
          <w:p>
            <w:pPr>
              <w:pStyle w:val="TableContents"/>
              <w:bidi w:val="0"/>
              <w:spacing w:before="0" w:after="283"/>
              <w:jc w:val="left"/>
              <w:rPr/>
            </w:pPr>
            <w:r>
              <w:rPr/>
              <w:t>Weighted average common shares outstanding (basic and diluted)</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223" w:type="dxa"/>
            <w:tcBorders>
              <w:bottom w:val="double" w:sz="6" w:space="0" w:color="000000"/>
            </w:tcBorders>
            <w:shd w:fill="FFFFFF" w:val="clear"/>
            <w:tcMar>
              <w:bottom w:w="28" w:type="dxa"/>
            </w:tcMar>
            <w:vAlign w:val="center"/>
          </w:tcPr>
          <w:p>
            <w:pPr>
              <w:pStyle w:val="TableContents"/>
              <w:bidi w:val="0"/>
              <w:spacing w:before="0" w:after="283"/>
              <w:jc w:val="right"/>
              <w:rPr/>
            </w:pPr>
            <w:r>
              <w:rPr/>
              <w:t>19,125,970</w:t>
            </w:r>
          </w:p>
        </w:tc>
        <w:tc>
          <w:tcPr>
            <w:tcW w:w="105" w:type="dxa"/>
            <w:tcBorders/>
            <w:shd w:fill="FFFFFF" w:val="clear"/>
            <w:vAlign w:val="center"/>
          </w:tcPr>
          <w:p>
            <w:pPr>
              <w:pStyle w:val="TableContents"/>
              <w:bidi w:val="0"/>
              <w:spacing w:before="0" w:after="283"/>
              <w:jc w:val="left"/>
              <w:rPr>
                <w:sz w:val="4"/>
                <w:szCs w:val="4"/>
              </w:rPr>
            </w:pPr>
            <w:r>
              <w:rPr>
                <w:sz w:val="4"/>
                <w:szCs w:val="4"/>
              </w:rPr>
            </w:r>
          </w:p>
        </w:tc>
        <w:tc>
          <w:tcPr>
            <w:tcW w:w="66" w:type="dxa"/>
            <w:tcBorders/>
            <w:shd w:fill="FFFFFF" w:val="clear"/>
            <w:vAlign w:val="center"/>
          </w:tcPr>
          <w:p>
            <w:pPr>
              <w:pStyle w:val="TableContents"/>
              <w:bidi w:val="0"/>
              <w:spacing w:before="0" w:after="283"/>
              <w:jc w:val="left"/>
              <w:rPr>
                <w:sz w:val="4"/>
                <w:szCs w:val="4"/>
              </w:rPr>
            </w:pPr>
            <w:r>
              <w:rPr>
                <w:sz w:val="4"/>
                <w:szCs w:val="4"/>
              </w:rPr>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0" w:type="dxa"/>
            <w:tcBorders>
              <w:bottom w:val="double" w:sz="6" w:space="0" w:color="000000"/>
            </w:tcBorders>
            <w:shd w:fill="FFFFFF" w:val="clear"/>
            <w:tcMar>
              <w:bottom w:w="28" w:type="dxa"/>
            </w:tcMar>
            <w:vAlign w:val="center"/>
          </w:tcPr>
          <w:p>
            <w:pPr>
              <w:pStyle w:val="TableContents"/>
              <w:bidi w:val="0"/>
              <w:spacing w:before="0" w:after="283"/>
              <w:jc w:val="right"/>
              <w:rPr/>
            </w:pPr>
            <w:r>
              <w:rPr/>
              <w:t>6,874,454</w:t>
            </w:r>
          </w:p>
        </w:tc>
        <w:tc>
          <w:tcPr>
            <w:tcW w:w="108"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33" w:type="dxa"/>
            <w:tcBorders>
              <w:bottom w:val="double" w:sz="6" w:space="0" w:color="000000"/>
            </w:tcBorders>
            <w:shd w:fill="FFFFFF" w:val="clear"/>
            <w:tcMar>
              <w:bottom w:w="28" w:type="dxa"/>
            </w:tcMar>
            <w:vAlign w:val="center"/>
          </w:tcPr>
          <w:p>
            <w:pPr>
              <w:pStyle w:val="TableContents"/>
              <w:bidi w:val="0"/>
              <w:spacing w:before="0" w:after="283"/>
              <w:jc w:val="right"/>
              <w:rPr/>
            </w:pPr>
            <w:r>
              <w:rPr/>
              <w:t>18,137,050</w:t>
            </w:r>
          </w:p>
        </w:tc>
        <w:tc>
          <w:tcPr>
            <w:tcW w:w="97" w:type="dxa"/>
            <w:tcBorders/>
            <w:shd w:fill="FFFFFF" w:val="clear"/>
            <w:vAlign w:val="center"/>
          </w:tcPr>
          <w:p>
            <w:pPr>
              <w:pStyle w:val="TableContents"/>
              <w:bidi w:val="0"/>
              <w:spacing w:before="0" w:after="283"/>
              <w:jc w:val="left"/>
              <w:rPr>
                <w:sz w:val="4"/>
                <w:szCs w:val="4"/>
              </w:rPr>
            </w:pPr>
            <w:r>
              <w:rPr>
                <w:sz w:val="4"/>
                <w:szCs w:val="4"/>
              </w:rPr>
            </w:r>
          </w:p>
        </w:tc>
        <w:tc>
          <w:tcPr>
            <w:tcW w:w="61" w:type="dxa"/>
            <w:tcBorders/>
            <w:shd w:fill="FFFFFF" w:val="clear"/>
            <w:vAlign w:val="center"/>
          </w:tcPr>
          <w:p>
            <w:pPr>
              <w:pStyle w:val="TableContents"/>
              <w:bidi w:val="0"/>
              <w:spacing w:before="0" w:after="283"/>
              <w:jc w:val="left"/>
              <w:rPr>
                <w:sz w:val="4"/>
                <w:szCs w:val="4"/>
              </w:rPr>
            </w:pPr>
            <w:r>
              <w:rPr>
                <w:sz w:val="4"/>
                <w:szCs w:val="4"/>
              </w:rPr>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09" w:type="dxa"/>
            <w:tcBorders>
              <w:bottom w:val="double" w:sz="6" w:space="0" w:color="000000"/>
            </w:tcBorders>
            <w:shd w:fill="FFFFFF" w:val="clear"/>
            <w:tcMar>
              <w:bottom w:w="28" w:type="dxa"/>
            </w:tcMar>
            <w:vAlign w:val="center"/>
          </w:tcPr>
          <w:p>
            <w:pPr>
              <w:pStyle w:val="TableContents"/>
              <w:bidi w:val="0"/>
              <w:spacing w:before="0" w:after="283"/>
              <w:jc w:val="right"/>
              <w:rPr/>
            </w:pPr>
            <w:r>
              <w:rPr/>
              <w:t>6,499,089</w:t>
            </w:r>
          </w:p>
        </w:tc>
        <w:tc>
          <w:tcPr>
            <w:tcW w:w="119" w:type="dxa"/>
            <w:tcBorders/>
            <w:shd w:fill="FFFFFF" w:val="clear"/>
            <w:vAlign w:val="center"/>
          </w:tcPr>
          <w:p>
            <w:pPr>
              <w:pStyle w:val="TableContents"/>
              <w:bidi w:val="0"/>
              <w:spacing w:before="0" w:after="283"/>
              <w:jc w:val="left"/>
              <w:rPr>
                <w:sz w:val="4"/>
                <w:szCs w:val="4"/>
              </w:rPr>
            </w:pPr>
            <w:r>
              <w:rPr>
                <w:sz w:val="4"/>
                <w:szCs w:val="4"/>
              </w:rPr>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4025" w:type="dxa"/>
        <w:jc w:val="left"/>
        <w:tblInd w:w="0" w:type="dxa"/>
        <w:tblLayout w:type="fixed"/>
        <w:tblCellMar>
          <w:top w:w="0" w:type="dxa"/>
          <w:left w:w="0" w:type="dxa"/>
          <w:bottom w:w="0" w:type="dxa"/>
          <w:right w:w="0" w:type="dxa"/>
        </w:tblCellMar>
      </w:tblPr>
      <w:tblGrid>
        <w:gridCol w:w="4025"/>
      </w:tblGrid>
      <w:tr>
        <w:trPr/>
        <w:tc>
          <w:tcPr>
            <w:tcW w:w="4025" w:type="dxa"/>
            <w:tcBorders/>
            <w:vAlign w:val="center"/>
          </w:tcPr>
          <w:p>
            <w:pPr>
              <w:pStyle w:val="TableContents"/>
              <w:bidi w:val="0"/>
              <w:spacing w:before="0" w:after="283"/>
              <w:jc w:val="left"/>
              <w:rPr>
                <w:b/>
              </w:rPr>
            </w:pPr>
            <w:r>
              <w:rPr>
                <w:b/>
              </w:rPr>
              <w:t>AEYE, INC.</w:t>
              <w:br/>
              <w:t>Consolidated Statements of Cash Flows</w:t>
              <w:br/>
              <w:t>(In thousands)</w:t>
              <w:br/>
              <w:t>(Unaudited)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461"/>
        <w:gridCol w:w="60"/>
        <w:gridCol w:w="182"/>
        <w:gridCol w:w="986"/>
        <w:gridCol w:w="124"/>
        <w:gridCol w:w="78"/>
        <w:gridCol w:w="182"/>
        <w:gridCol w:w="986"/>
        <w:gridCol w:w="146"/>
      </w:tblGrid>
      <w:tr>
        <w:trPr/>
        <w:tc>
          <w:tcPr>
            <w:tcW w:w="74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684" w:type="dxa"/>
            <w:gridSpan w:val="7"/>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r>
      <w:tr>
        <w:trPr/>
        <w:tc>
          <w:tcPr>
            <w:tcW w:w="74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92"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8" w:type="dxa"/>
            <w:tcBorders/>
            <w:vAlign w:val="center"/>
          </w:tcPr>
          <w:p>
            <w:pPr>
              <w:pStyle w:val="TableContents"/>
              <w:bidi w:val="0"/>
              <w:spacing w:before="0" w:after="283"/>
              <w:jc w:val="left"/>
              <w:rPr>
                <w:sz w:val="4"/>
                <w:szCs w:val="4"/>
              </w:rPr>
            </w:pPr>
            <w:r>
              <w:rPr>
                <w:sz w:val="4"/>
                <w:szCs w:val="4"/>
              </w:rPr>
            </w:r>
          </w:p>
        </w:tc>
        <w:tc>
          <w:tcPr>
            <w:tcW w:w="1314"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r>
      <w:tr>
        <w:trPr/>
        <w:tc>
          <w:tcPr>
            <w:tcW w:w="7461"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before="0" w:after="283"/>
              <w:jc w:val="right"/>
              <w:rPr/>
            </w:pPr>
            <w:r>
              <w:rPr/>
              <w:t> </w:t>
            </w:r>
          </w:p>
        </w:tc>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7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sz w:val="4"/>
                <w:szCs w:val="4"/>
              </w:rPr>
            </w:pPr>
            <w:r>
              <w:rPr>
                <w:sz w:val="4"/>
                <w:szCs w:val="4"/>
              </w:rPr>
            </w:r>
          </w:p>
        </w:tc>
      </w:tr>
      <w:tr>
        <w:trPr/>
        <w:tc>
          <w:tcPr>
            <w:tcW w:w="7461"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w:t>
            </w:r>
          </w:p>
        </w:tc>
        <w:tc>
          <w:tcPr>
            <w:tcW w:w="986" w:type="dxa"/>
            <w:tcBorders/>
            <w:shd w:fill="FFFFFF" w:val="clear"/>
            <w:vAlign w:val="center"/>
          </w:tcPr>
          <w:p>
            <w:pPr>
              <w:pStyle w:val="TableContents"/>
              <w:bidi w:val="0"/>
              <w:spacing w:before="0" w:after="283"/>
              <w:jc w:val="right"/>
              <w:rPr/>
            </w:pPr>
            <w:r>
              <w:rPr/>
              <w:t>(17,286</w:t>
            </w:r>
          </w:p>
        </w:tc>
        <w:tc>
          <w:tcPr>
            <w:tcW w:w="124"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w:t>
            </w:r>
          </w:p>
        </w:tc>
        <w:tc>
          <w:tcPr>
            <w:tcW w:w="986" w:type="dxa"/>
            <w:tcBorders/>
            <w:shd w:fill="FFFFFF" w:val="clear"/>
            <w:vAlign w:val="center"/>
          </w:tcPr>
          <w:p>
            <w:pPr>
              <w:pStyle w:val="TableContents"/>
              <w:bidi w:val="0"/>
              <w:spacing w:before="0" w:after="283"/>
              <w:jc w:val="right"/>
              <w:rPr/>
            </w:pPr>
            <w:r>
              <w:rPr/>
              <w:t>(18,206</w:t>
            </w:r>
          </w:p>
        </w:tc>
        <w:tc>
          <w:tcPr>
            <w:tcW w:w="146" w:type="dxa"/>
            <w:tcBorders/>
            <w:shd w:fill="FFFFFF" w:val="clear"/>
            <w:vAlign w:val="center"/>
          </w:tcPr>
          <w:p>
            <w:pPr>
              <w:pStyle w:val="TableContents"/>
              <w:bidi w:val="0"/>
              <w:spacing w:before="0" w:after="283"/>
              <w:jc w:val="left"/>
              <w:rPr/>
            </w:pPr>
            <w:r>
              <w:rPr/>
              <w:t>)</w:t>
            </w:r>
          </w:p>
        </w:tc>
      </w:tr>
      <w:tr>
        <w:trPr/>
        <w:tc>
          <w:tcPr>
            <w:tcW w:w="7461"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before="0" w:after="283"/>
              <w:jc w:val="right"/>
              <w:rPr/>
            </w:pPr>
            <w:r>
              <w:rPr/>
              <w:t> </w:t>
            </w:r>
          </w:p>
        </w:tc>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7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sz w:val="4"/>
                <w:szCs w:val="4"/>
              </w:rPr>
            </w:pPr>
            <w:r>
              <w:rPr>
                <w:sz w:val="4"/>
                <w:szCs w:val="4"/>
              </w:rPr>
            </w:r>
          </w:p>
        </w:tc>
      </w:tr>
      <w:tr>
        <w:trPr/>
        <w:tc>
          <w:tcPr>
            <w:tcW w:w="7461"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sz w:val="4"/>
                <w:szCs w:val="4"/>
              </w:rPr>
            </w:pPr>
            <w:r>
              <w:rPr>
                <w:sz w:val="4"/>
                <w:szCs w:val="4"/>
              </w:rPr>
            </w:r>
          </w:p>
        </w:tc>
        <w:tc>
          <w:tcPr>
            <w:tcW w:w="986" w:type="dxa"/>
            <w:tcBorders/>
            <w:shd w:fill="FFFFFF" w:val="clear"/>
            <w:vAlign w:val="center"/>
          </w:tcPr>
          <w:p>
            <w:pPr>
              <w:pStyle w:val="TableContents"/>
              <w:bidi w:val="0"/>
              <w:spacing w:before="0" w:after="283"/>
              <w:jc w:val="right"/>
              <w:rPr/>
            </w:pPr>
            <w:r>
              <w:rPr/>
              <w:t>75</w:t>
            </w:r>
          </w:p>
        </w:tc>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78"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sz w:val="4"/>
                <w:szCs w:val="4"/>
              </w:rPr>
            </w:pPr>
            <w:r>
              <w:rPr>
                <w:sz w:val="4"/>
                <w:szCs w:val="4"/>
              </w:rPr>
            </w:r>
          </w:p>
        </w:tc>
        <w:tc>
          <w:tcPr>
            <w:tcW w:w="986" w:type="dxa"/>
            <w:tcBorders/>
            <w:shd w:fill="FFFFFF" w:val="clear"/>
            <w:vAlign w:val="center"/>
          </w:tcPr>
          <w:p>
            <w:pPr>
              <w:pStyle w:val="TableContents"/>
              <w:bidi w:val="0"/>
              <w:spacing w:before="0" w:after="283"/>
              <w:jc w:val="right"/>
              <w:rPr/>
            </w:pPr>
            <w:r>
              <w:rPr/>
              <w:t>56</w:t>
            </w:r>
          </w:p>
        </w:tc>
        <w:tc>
          <w:tcPr>
            <w:tcW w:w="146" w:type="dxa"/>
            <w:tcBorders/>
            <w:shd w:fill="FFFFFF" w:val="clear"/>
            <w:vAlign w:val="center"/>
          </w:tcPr>
          <w:p>
            <w:pPr>
              <w:pStyle w:val="TableContents"/>
              <w:bidi w:val="0"/>
              <w:spacing w:before="0" w:after="283"/>
              <w:jc w:val="left"/>
              <w:rPr>
                <w:sz w:val="4"/>
                <w:szCs w:val="4"/>
              </w:rPr>
            </w:pPr>
            <w:r>
              <w:rPr>
                <w:sz w:val="4"/>
                <w:szCs w:val="4"/>
              </w:rPr>
            </w:r>
          </w:p>
        </w:tc>
      </w:tr>
      <w:tr>
        <w:trPr/>
        <w:tc>
          <w:tcPr>
            <w:tcW w:w="7461" w:type="dxa"/>
            <w:tcBorders/>
            <w:shd w:fill="CCEEFF" w:val="clear"/>
            <w:vAlign w:val="center"/>
          </w:tcPr>
          <w:p>
            <w:pPr>
              <w:pStyle w:val="TableContents"/>
              <w:bidi w:val="0"/>
              <w:spacing w:before="0" w:after="283"/>
              <w:jc w:val="left"/>
              <w:rPr/>
            </w:pPr>
            <w:r>
              <w:rPr/>
              <w:t>Noncash lease expense relating to operating lease right-of-use assets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before="0" w:after="283"/>
              <w:jc w:val="right"/>
              <w:rPr/>
            </w:pPr>
            <w:r>
              <w:rPr/>
              <w:t>103</w:t>
            </w:r>
          </w:p>
        </w:tc>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7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before="0" w:after="283"/>
              <w:jc w:val="right"/>
              <w:rPr/>
            </w:pPr>
            <w:r>
              <w:rPr/>
              <w:t>727</w:t>
            </w:r>
          </w:p>
        </w:tc>
        <w:tc>
          <w:tcPr>
            <w:tcW w:w="146" w:type="dxa"/>
            <w:tcBorders/>
            <w:shd w:fill="CCEEFF" w:val="clear"/>
            <w:vAlign w:val="center"/>
          </w:tcPr>
          <w:p>
            <w:pPr>
              <w:pStyle w:val="TableContents"/>
              <w:bidi w:val="0"/>
              <w:spacing w:before="0" w:after="283"/>
              <w:jc w:val="left"/>
              <w:rPr>
                <w:sz w:val="4"/>
                <w:szCs w:val="4"/>
              </w:rPr>
            </w:pPr>
            <w:r>
              <w:rPr>
                <w:sz w:val="4"/>
                <w:szCs w:val="4"/>
              </w:rPr>
            </w:r>
          </w:p>
        </w:tc>
      </w:tr>
      <w:tr>
        <w:trPr/>
        <w:tc>
          <w:tcPr>
            <w:tcW w:w="7461" w:type="dxa"/>
            <w:tcBorders/>
            <w:shd w:fill="FFFFFF" w:val="clear"/>
            <w:vAlign w:val="center"/>
          </w:tcPr>
          <w:p>
            <w:pPr>
              <w:pStyle w:val="TableContents"/>
              <w:bidi w:val="0"/>
              <w:spacing w:before="0" w:after="283"/>
              <w:jc w:val="left"/>
              <w:rPr/>
            </w:pPr>
            <w:r>
              <w:rPr/>
              <w:t>Gain on termination of operating lease, net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sz w:val="4"/>
                <w:szCs w:val="4"/>
              </w:rPr>
            </w:pPr>
            <w:r>
              <w:rPr>
                <w:sz w:val="4"/>
                <w:szCs w:val="4"/>
              </w:rPr>
            </w:r>
          </w:p>
        </w:tc>
        <w:tc>
          <w:tcPr>
            <w:tcW w:w="986" w:type="dxa"/>
            <w:tcBorders/>
            <w:shd w:fill="FFFFFF" w:val="clear"/>
            <w:vAlign w:val="center"/>
          </w:tcPr>
          <w:p>
            <w:pPr>
              <w:pStyle w:val="TableContents"/>
              <w:bidi w:val="0"/>
              <w:spacing w:before="0" w:after="283"/>
              <w:jc w:val="right"/>
              <w:rPr/>
            </w:pPr>
            <w:r>
              <w:rPr/>
              <w:t>(1,612</w:t>
            </w:r>
          </w:p>
        </w:tc>
        <w:tc>
          <w:tcPr>
            <w:tcW w:w="124"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sz w:val="4"/>
                <w:szCs w:val="4"/>
              </w:rPr>
            </w:pPr>
            <w:r>
              <w:rPr>
                <w:sz w:val="4"/>
                <w:szCs w:val="4"/>
              </w:rPr>
            </w:r>
          </w:p>
        </w:tc>
        <w:tc>
          <w:tcPr>
            <w:tcW w:w="9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r>
      <w:tr>
        <w:trPr/>
        <w:tc>
          <w:tcPr>
            <w:tcW w:w="7461" w:type="dxa"/>
            <w:tcBorders/>
            <w:shd w:fill="CCEEFF" w:val="clear"/>
            <w:vAlign w:val="center"/>
          </w:tcPr>
          <w:p>
            <w:pPr>
              <w:pStyle w:val="TableContents"/>
              <w:bidi w:val="0"/>
              <w:spacing w:before="0" w:after="283"/>
              <w:jc w:val="left"/>
              <w:rPr/>
            </w:pPr>
            <w:r>
              <w:rPr/>
              <w:t>Common stock purchase agreement costs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before="0" w:after="283"/>
              <w:jc w:val="right"/>
              <w:rPr/>
            </w:pPr>
            <w:r>
              <w:rPr/>
              <w:t>306</w:t>
            </w:r>
          </w:p>
        </w:tc>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7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sz w:val="4"/>
                <w:szCs w:val="4"/>
              </w:rPr>
            </w:pPr>
            <w:r>
              <w:rPr>
                <w:sz w:val="4"/>
                <w:szCs w:val="4"/>
              </w:rPr>
            </w:r>
          </w:p>
        </w:tc>
      </w:tr>
      <w:tr>
        <w:trPr/>
        <w:tc>
          <w:tcPr>
            <w:tcW w:w="7461" w:type="dxa"/>
            <w:tcBorders/>
            <w:shd w:fill="FFFFFF" w:val="clear"/>
            <w:vAlign w:val="center"/>
          </w:tcPr>
          <w:p>
            <w:pPr>
              <w:pStyle w:val="TableContents"/>
              <w:bidi w:val="0"/>
              <w:spacing w:before="0" w:after="283"/>
              <w:jc w:val="left"/>
              <w:rPr/>
            </w:pPr>
            <w:r>
              <w:rPr/>
              <w:t>Debt issuance costs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sz w:val="4"/>
                <w:szCs w:val="4"/>
              </w:rPr>
            </w:pPr>
            <w:r>
              <w:rPr>
                <w:sz w:val="4"/>
                <w:szCs w:val="4"/>
              </w:rPr>
            </w:r>
          </w:p>
        </w:tc>
        <w:tc>
          <w:tcPr>
            <w:tcW w:w="986" w:type="dxa"/>
            <w:tcBorders/>
            <w:shd w:fill="FFFFFF" w:val="clear"/>
            <w:vAlign w:val="center"/>
          </w:tcPr>
          <w:p>
            <w:pPr>
              <w:pStyle w:val="TableContents"/>
              <w:bidi w:val="0"/>
              <w:spacing w:before="0" w:after="283"/>
              <w:jc w:val="right"/>
              <w:rPr/>
            </w:pPr>
            <w:r>
              <w:rPr/>
              <w:t>2,020</w:t>
            </w:r>
          </w:p>
        </w:tc>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78"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sz w:val="4"/>
                <w:szCs w:val="4"/>
              </w:rPr>
            </w:pPr>
            <w:r>
              <w:rPr>
                <w:sz w:val="4"/>
                <w:szCs w:val="4"/>
              </w:rPr>
            </w:r>
          </w:p>
        </w:tc>
        <w:tc>
          <w:tcPr>
            <w:tcW w:w="9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r>
      <w:tr>
        <w:trPr/>
        <w:tc>
          <w:tcPr>
            <w:tcW w:w="7461" w:type="dxa"/>
            <w:tcBorders/>
            <w:shd w:fill="CCEEFF" w:val="clear"/>
            <w:vAlign w:val="center"/>
          </w:tcPr>
          <w:p>
            <w:pPr>
              <w:pStyle w:val="TableContents"/>
              <w:bidi w:val="0"/>
              <w:spacing w:before="0" w:after="283"/>
              <w:jc w:val="left"/>
              <w:rPr/>
            </w:pPr>
            <w:r>
              <w:rPr/>
              <w:t>Inventory write-downs, net of scrapped inventory</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before="0" w:after="283"/>
              <w:jc w:val="right"/>
              <w:rPr/>
            </w:pPr>
            <w:r>
              <w:rPr/>
              <w:t>24</w:t>
            </w:r>
          </w:p>
        </w:tc>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7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before="0" w:after="283"/>
              <w:jc w:val="right"/>
              <w:rPr/>
            </w:pPr>
            <w:r>
              <w:rPr/>
              <w:t>112</w:t>
            </w:r>
          </w:p>
        </w:tc>
        <w:tc>
          <w:tcPr>
            <w:tcW w:w="146" w:type="dxa"/>
            <w:tcBorders/>
            <w:shd w:fill="CCEEFF" w:val="clear"/>
            <w:vAlign w:val="center"/>
          </w:tcPr>
          <w:p>
            <w:pPr>
              <w:pStyle w:val="TableContents"/>
              <w:bidi w:val="0"/>
              <w:spacing w:before="0" w:after="283"/>
              <w:jc w:val="left"/>
              <w:rPr>
                <w:sz w:val="4"/>
                <w:szCs w:val="4"/>
              </w:rPr>
            </w:pPr>
            <w:r>
              <w:rPr>
                <w:sz w:val="4"/>
                <w:szCs w:val="4"/>
              </w:rPr>
            </w:r>
          </w:p>
        </w:tc>
      </w:tr>
      <w:tr>
        <w:trPr/>
        <w:tc>
          <w:tcPr>
            <w:tcW w:w="7461" w:type="dxa"/>
            <w:tcBorders/>
            <w:shd w:fill="FFFFFF" w:val="clear"/>
            <w:vAlign w:val="center"/>
          </w:tcPr>
          <w:p>
            <w:pPr>
              <w:pStyle w:val="TableContents"/>
              <w:bidi w:val="0"/>
              <w:spacing w:before="0" w:after="283"/>
              <w:jc w:val="left"/>
              <w:rPr/>
            </w:pPr>
            <w:r>
              <w:rPr/>
              <w:t>Change in fair value of convertible note and warrant liabilities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sz w:val="4"/>
                <w:szCs w:val="4"/>
              </w:rPr>
            </w:pPr>
            <w:r>
              <w:rPr>
                <w:sz w:val="4"/>
                <w:szCs w:val="4"/>
              </w:rPr>
            </w:r>
          </w:p>
        </w:tc>
        <w:tc>
          <w:tcPr>
            <w:tcW w:w="986" w:type="dxa"/>
            <w:tcBorders/>
            <w:shd w:fill="FFFFFF" w:val="clear"/>
            <w:vAlign w:val="center"/>
          </w:tcPr>
          <w:p>
            <w:pPr>
              <w:pStyle w:val="TableContents"/>
              <w:bidi w:val="0"/>
              <w:spacing w:before="0" w:after="283"/>
              <w:jc w:val="right"/>
              <w:rPr/>
            </w:pPr>
            <w:r>
              <w:rPr/>
              <w:t>(87</w:t>
            </w:r>
          </w:p>
        </w:tc>
        <w:tc>
          <w:tcPr>
            <w:tcW w:w="124"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sz w:val="4"/>
                <w:szCs w:val="4"/>
              </w:rPr>
            </w:pPr>
            <w:r>
              <w:rPr>
                <w:sz w:val="4"/>
                <w:szCs w:val="4"/>
              </w:rPr>
            </w:r>
          </w:p>
        </w:tc>
        <w:tc>
          <w:tcPr>
            <w:tcW w:w="986" w:type="dxa"/>
            <w:tcBorders/>
            <w:shd w:fill="FFFFFF" w:val="clear"/>
            <w:vAlign w:val="center"/>
          </w:tcPr>
          <w:p>
            <w:pPr>
              <w:pStyle w:val="TableContents"/>
              <w:bidi w:val="0"/>
              <w:spacing w:before="0" w:after="283"/>
              <w:jc w:val="right"/>
              <w:rPr/>
            </w:pPr>
            <w:r>
              <w:rPr/>
              <w:t>13</w:t>
            </w:r>
          </w:p>
        </w:tc>
        <w:tc>
          <w:tcPr>
            <w:tcW w:w="146" w:type="dxa"/>
            <w:tcBorders/>
            <w:shd w:fill="FFFFFF" w:val="clear"/>
            <w:vAlign w:val="center"/>
          </w:tcPr>
          <w:p>
            <w:pPr>
              <w:pStyle w:val="TableContents"/>
              <w:bidi w:val="0"/>
              <w:spacing w:before="0" w:after="283"/>
              <w:jc w:val="left"/>
              <w:rPr>
                <w:sz w:val="4"/>
                <w:szCs w:val="4"/>
              </w:rPr>
            </w:pPr>
            <w:r>
              <w:rPr>
                <w:sz w:val="4"/>
                <w:szCs w:val="4"/>
              </w:rPr>
            </w:r>
          </w:p>
        </w:tc>
      </w:tr>
      <w:tr>
        <w:trPr/>
        <w:tc>
          <w:tcPr>
            <w:tcW w:w="7461"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before="0" w:after="283"/>
              <w:jc w:val="right"/>
              <w:rPr/>
            </w:pPr>
            <w:r>
              <w:rPr/>
              <w:t>3,661</w:t>
            </w:r>
          </w:p>
        </w:tc>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7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before="0" w:after="283"/>
              <w:jc w:val="right"/>
              <w:rPr/>
            </w:pPr>
            <w:r>
              <w:rPr/>
              <w:t>4,754</w:t>
            </w:r>
          </w:p>
        </w:tc>
        <w:tc>
          <w:tcPr>
            <w:tcW w:w="146" w:type="dxa"/>
            <w:tcBorders/>
            <w:shd w:fill="CCEEFF" w:val="clear"/>
            <w:vAlign w:val="center"/>
          </w:tcPr>
          <w:p>
            <w:pPr>
              <w:pStyle w:val="TableContents"/>
              <w:bidi w:val="0"/>
              <w:spacing w:before="0" w:after="283"/>
              <w:jc w:val="left"/>
              <w:rPr>
                <w:sz w:val="4"/>
                <w:szCs w:val="4"/>
              </w:rPr>
            </w:pPr>
            <w:r>
              <w:rPr>
                <w:sz w:val="4"/>
                <w:szCs w:val="4"/>
              </w:rPr>
            </w:r>
          </w:p>
        </w:tc>
      </w:tr>
      <w:tr>
        <w:trPr/>
        <w:tc>
          <w:tcPr>
            <w:tcW w:w="7461" w:type="dxa"/>
            <w:tcBorders/>
            <w:shd w:fill="FFFFFF" w:val="clear"/>
            <w:vAlign w:val="center"/>
          </w:tcPr>
          <w:p>
            <w:pPr>
              <w:pStyle w:val="TableContents"/>
              <w:bidi w:val="0"/>
              <w:spacing w:before="0" w:after="283"/>
              <w:jc w:val="left"/>
              <w:rPr/>
            </w:pPr>
            <w:r>
              <w:rPr/>
              <w:t xml:space="preserve">Amortization of premiums and accretion of discounts on marketable securities, net of </w:t>
              <w:br/>
              <w:t>change in accrued interest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sz w:val="4"/>
                <w:szCs w:val="4"/>
              </w:rPr>
            </w:pPr>
            <w:r>
              <w:rPr>
                <w:sz w:val="4"/>
                <w:szCs w:val="4"/>
              </w:rPr>
            </w:r>
          </w:p>
        </w:tc>
        <w:tc>
          <w:tcPr>
            <w:tcW w:w="986" w:type="dxa"/>
            <w:tcBorders/>
            <w:shd w:fill="FFFFFF" w:val="clear"/>
            <w:vAlign w:val="center"/>
          </w:tcPr>
          <w:p>
            <w:pPr>
              <w:pStyle w:val="TableContents"/>
              <w:bidi w:val="0"/>
              <w:spacing w:before="0" w:after="283"/>
              <w:jc w:val="right"/>
              <w:rPr/>
            </w:pPr>
            <w:r>
              <w:rPr/>
              <w:t>(157</w:t>
            </w:r>
          </w:p>
        </w:tc>
        <w:tc>
          <w:tcPr>
            <w:tcW w:w="124"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sz w:val="4"/>
                <w:szCs w:val="4"/>
              </w:rPr>
            </w:pPr>
            <w:r>
              <w:rPr>
                <w:sz w:val="4"/>
                <w:szCs w:val="4"/>
              </w:rPr>
            </w:r>
          </w:p>
        </w:tc>
        <w:tc>
          <w:tcPr>
            <w:tcW w:w="986" w:type="dxa"/>
            <w:tcBorders/>
            <w:shd w:fill="FFFFFF" w:val="clear"/>
            <w:vAlign w:val="center"/>
          </w:tcPr>
          <w:p>
            <w:pPr>
              <w:pStyle w:val="TableContents"/>
              <w:bidi w:val="0"/>
              <w:spacing w:before="0" w:after="283"/>
              <w:jc w:val="right"/>
              <w:rPr/>
            </w:pPr>
            <w:r>
              <w:rPr/>
              <w:t>(428</w:t>
            </w:r>
          </w:p>
        </w:tc>
        <w:tc>
          <w:tcPr>
            <w:tcW w:w="146" w:type="dxa"/>
            <w:tcBorders/>
            <w:shd w:fill="FFFFFF" w:val="clear"/>
            <w:vAlign w:val="center"/>
          </w:tcPr>
          <w:p>
            <w:pPr>
              <w:pStyle w:val="TableContents"/>
              <w:bidi w:val="0"/>
              <w:spacing w:before="0" w:after="283"/>
              <w:jc w:val="left"/>
              <w:rPr/>
            </w:pPr>
            <w:r>
              <w:rPr/>
              <w:t>)</w:t>
            </w:r>
          </w:p>
        </w:tc>
      </w:tr>
      <w:tr>
        <w:trPr/>
        <w:tc>
          <w:tcPr>
            <w:tcW w:w="7461" w:type="dxa"/>
            <w:tcBorders/>
            <w:shd w:fill="CCEEFF" w:val="clear"/>
            <w:vAlign w:val="center"/>
          </w:tcPr>
          <w:p>
            <w:pPr>
              <w:pStyle w:val="TableContents"/>
              <w:bidi w:val="0"/>
              <w:spacing w:before="0" w:after="283"/>
              <w:jc w:val="left"/>
              <w:rPr/>
            </w:pPr>
            <w:r>
              <w:rPr/>
              <w:t>Expected credit losses, net of write-off</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before="0" w:after="283"/>
              <w:jc w:val="right"/>
              <w:rPr/>
            </w:pPr>
            <w:r>
              <w:rPr/>
              <w:t>2</w:t>
            </w:r>
          </w:p>
        </w:tc>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7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before="0" w:after="283"/>
              <w:jc w:val="right"/>
              <w:rPr/>
            </w:pPr>
            <w:r>
              <w:rPr/>
              <w:t>34</w:t>
            </w:r>
          </w:p>
        </w:tc>
        <w:tc>
          <w:tcPr>
            <w:tcW w:w="146" w:type="dxa"/>
            <w:tcBorders/>
            <w:shd w:fill="CCEEFF" w:val="clear"/>
            <w:vAlign w:val="center"/>
          </w:tcPr>
          <w:p>
            <w:pPr>
              <w:pStyle w:val="TableContents"/>
              <w:bidi w:val="0"/>
              <w:spacing w:before="0" w:after="283"/>
              <w:jc w:val="left"/>
              <w:rPr>
                <w:sz w:val="4"/>
                <w:szCs w:val="4"/>
              </w:rPr>
            </w:pPr>
            <w:r>
              <w:rPr>
                <w:sz w:val="4"/>
                <w:szCs w:val="4"/>
              </w:rPr>
            </w:r>
          </w:p>
        </w:tc>
      </w:tr>
      <w:tr>
        <w:trPr/>
        <w:tc>
          <w:tcPr>
            <w:tcW w:w="7461"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sz w:val="4"/>
                <w:szCs w:val="4"/>
              </w:rPr>
            </w:pPr>
            <w:r>
              <w:rPr>
                <w:sz w:val="4"/>
                <w:szCs w:val="4"/>
              </w:rPr>
            </w:r>
          </w:p>
        </w:tc>
        <w:tc>
          <w:tcPr>
            <w:tcW w:w="986" w:type="dxa"/>
            <w:tcBorders/>
            <w:shd w:fill="FFFFFF" w:val="clear"/>
            <w:vAlign w:val="center"/>
          </w:tcPr>
          <w:p>
            <w:pPr>
              <w:pStyle w:val="TableContents"/>
              <w:bidi w:val="0"/>
              <w:spacing w:before="0" w:after="283"/>
              <w:jc w:val="right"/>
              <w:rPr/>
            </w:pPr>
            <w:r>
              <w:rPr/>
              <w:t> </w:t>
            </w:r>
          </w:p>
        </w:tc>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78"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sz w:val="4"/>
                <w:szCs w:val="4"/>
              </w:rPr>
            </w:pPr>
            <w:r>
              <w:rPr>
                <w:sz w:val="4"/>
                <w:szCs w:val="4"/>
              </w:rPr>
            </w:r>
          </w:p>
        </w:tc>
        <w:tc>
          <w:tcPr>
            <w:tcW w:w="9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r>
      <w:tr>
        <w:trPr/>
        <w:tc>
          <w:tcPr>
            <w:tcW w:w="7461"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before="0" w:after="283"/>
              <w:jc w:val="right"/>
              <w:rPr/>
            </w:pPr>
            <w:r>
              <w:rPr/>
              <w:t>(18</w:t>
            </w:r>
          </w:p>
        </w:tc>
        <w:tc>
          <w:tcPr>
            <w:tcW w:w="124"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before="0" w:after="283"/>
              <w:jc w:val="right"/>
              <w:rPr/>
            </w:pPr>
            <w:r>
              <w:rPr/>
              <w:t>90</w:t>
            </w:r>
          </w:p>
        </w:tc>
        <w:tc>
          <w:tcPr>
            <w:tcW w:w="146" w:type="dxa"/>
            <w:tcBorders/>
            <w:shd w:fill="CCEEFF" w:val="clear"/>
            <w:vAlign w:val="center"/>
          </w:tcPr>
          <w:p>
            <w:pPr>
              <w:pStyle w:val="TableContents"/>
              <w:bidi w:val="0"/>
              <w:spacing w:before="0" w:after="283"/>
              <w:jc w:val="left"/>
              <w:rPr>
                <w:sz w:val="4"/>
                <w:szCs w:val="4"/>
              </w:rPr>
            </w:pPr>
            <w:r>
              <w:rPr>
                <w:sz w:val="4"/>
                <w:szCs w:val="4"/>
              </w:rPr>
            </w:r>
          </w:p>
        </w:tc>
      </w:tr>
      <w:tr>
        <w:trPr/>
        <w:tc>
          <w:tcPr>
            <w:tcW w:w="7461" w:type="dxa"/>
            <w:tcBorders/>
            <w:shd w:fill="FFFFFF" w:val="clear"/>
            <w:vAlign w:val="center"/>
          </w:tcPr>
          <w:p>
            <w:pPr>
              <w:pStyle w:val="TableContents"/>
              <w:bidi w:val="0"/>
              <w:spacing w:before="0" w:after="283"/>
              <w:jc w:val="left"/>
              <w:rPr/>
            </w:pPr>
            <w:r>
              <w:rPr/>
              <w:t>Inventories, current and noncurrent, net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sz w:val="4"/>
                <w:szCs w:val="4"/>
              </w:rPr>
            </w:pPr>
            <w:r>
              <w:rPr>
                <w:sz w:val="4"/>
                <w:szCs w:val="4"/>
              </w:rPr>
            </w:r>
          </w:p>
        </w:tc>
        <w:tc>
          <w:tcPr>
            <w:tcW w:w="986" w:type="dxa"/>
            <w:tcBorders/>
            <w:shd w:fill="FFFFFF" w:val="clear"/>
            <w:vAlign w:val="center"/>
          </w:tcPr>
          <w:p>
            <w:pPr>
              <w:pStyle w:val="TableContents"/>
              <w:bidi w:val="0"/>
              <w:spacing w:before="0" w:after="283"/>
              <w:jc w:val="right"/>
              <w:rPr/>
            </w:pPr>
            <w:r>
              <w:rPr/>
              <w:t>(114</w:t>
            </w:r>
          </w:p>
        </w:tc>
        <w:tc>
          <w:tcPr>
            <w:tcW w:w="124"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sz w:val="4"/>
                <w:szCs w:val="4"/>
              </w:rPr>
            </w:pPr>
            <w:r>
              <w:rPr>
                <w:sz w:val="4"/>
                <w:szCs w:val="4"/>
              </w:rPr>
            </w:r>
          </w:p>
        </w:tc>
        <w:tc>
          <w:tcPr>
            <w:tcW w:w="986" w:type="dxa"/>
            <w:tcBorders/>
            <w:shd w:fill="FFFFFF" w:val="clear"/>
            <w:vAlign w:val="center"/>
          </w:tcPr>
          <w:p>
            <w:pPr>
              <w:pStyle w:val="TableContents"/>
              <w:bidi w:val="0"/>
              <w:spacing w:before="0" w:after="283"/>
              <w:jc w:val="right"/>
              <w:rPr/>
            </w:pPr>
            <w:r>
              <w:rPr/>
              <w:t>89</w:t>
            </w:r>
          </w:p>
        </w:tc>
        <w:tc>
          <w:tcPr>
            <w:tcW w:w="146" w:type="dxa"/>
            <w:tcBorders/>
            <w:shd w:fill="FFFFFF" w:val="clear"/>
            <w:vAlign w:val="center"/>
          </w:tcPr>
          <w:p>
            <w:pPr>
              <w:pStyle w:val="TableContents"/>
              <w:bidi w:val="0"/>
              <w:spacing w:before="0" w:after="283"/>
              <w:jc w:val="left"/>
              <w:rPr>
                <w:sz w:val="4"/>
                <w:szCs w:val="4"/>
              </w:rPr>
            </w:pPr>
            <w:r>
              <w:rPr>
                <w:sz w:val="4"/>
                <w:szCs w:val="4"/>
              </w:rPr>
            </w:r>
          </w:p>
        </w:tc>
      </w:tr>
      <w:tr>
        <w:trPr/>
        <w:tc>
          <w:tcPr>
            <w:tcW w:w="7461" w:type="dxa"/>
            <w:tcBorders/>
            <w:shd w:fill="CCEEFF" w:val="clear"/>
            <w:vAlign w:val="center"/>
          </w:tcPr>
          <w:p>
            <w:pPr>
              <w:pStyle w:val="TableContents"/>
              <w:bidi w:val="0"/>
              <w:spacing w:before="0" w:after="283"/>
              <w:jc w:val="left"/>
              <w:rPr/>
            </w:pPr>
            <w:r>
              <w:rPr/>
              <w:t>Prepaid and other current assets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before="0" w:after="283"/>
              <w:jc w:val="right"/>
              <w:rPr/>
            </w:pPr>
            <w:r>
              <w:rPr/>
              <w:t>84</w:t>
            </w:r>
          </w:p>
        </w:tc>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7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before="0" w:after="283"/>
              <w:jc w:val="right"/>
              <w:rPr/>
            </w:pPr>
            <w:r>
              <w:rPr/>
              <w:t>724</w:t>
            </w:r>
          </w:p>
        </w:tc>
        <w:tc>
          <w:tcPr>
            <w:tcW w:w="146" w:type="dxa"/>
            <w:tcBorders/>
            <w:shd w:fill="CCEEFF" w:val="clear"/>
            <w:vAlign w:val="center"/>
          </w:tcPr>
          <w:p>
            <w:pPr>
              <w:pStyle w:val="TableContents"/>
              <w:bidi w:val="0"/>
              <w:spacing w:before="0" w:after="283"/>
              <w:jc w:val="left"/>
              <w:rPr>
                <w:sz w:val="4"/>
                <w:szCs w:val="4"/>
              </w:rPr>
            </w:pPr>
            <w:r>
              <w:rPr>
                <w:sz w:val="4"/>
                <w:szCs w:val="4"/>
              </w:rPr>
            </w:r>
          </w:p>
        </w:tc>
      </w:tr>
      <w:tr>
        <w:trPr/>
        <w:tc>
          <w:tcPr>
            <w:tcW w:w="7461"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sz w:val="4"/>
                <w:szCs w:val="4"/>
              </w:rPr>
            </w:pPr>
            <w:r>
              <w:rPr>
                <w:sz w:val="4"/>
                <w:szCs w:val="4"/>
              </w:rPr>
            </w:r>
          </w:p>
        </w:tc>
        <w:tc>
          <w:tcPr>
            <w:tcW w:w="986" w:type="dxa"/>
            <w:tcBorders/>
            <w:shd w:fill="FFFFFF" w:val="clear"/>
            <w:vAlign w:val="center"/>
          </w:tcPr>
          <w:p>
            <w:pPr>
              <w:pStyle w:val="TableContents"/>
              <w:bidi w:val="0"/>
              <w:spacing w:before="0" w:after="283"/>
              <w:jc w:val="right"/>
              <w:rPr/>
            </w:pPr>
            <w:r>
              <w:rPr/>
              <w:t>134</w:t>
            </w:r>
          </w:p>
        </w:tc>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78"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sz w:val="4"/>
                <w:szCs w:val="4"/>
              </w:rPr>
            </w:pPr>
            <w:r>
              <w:rPr>
                <w:sz w:val="4"/>
                <w:szCs w:val="4"/>
              </w:rPr>
            </w:r>
          </w:p>
        </w:tc>
        <w:tc>
          <w:tcPr>
            <w:tcW w:w="986" w:type="dxa"/>
            <w:tcBorders/>
            <w:shd w:fill="FFFFFF" w:val="clear"/>
            <w:vAlign w:val="center"/>
          </w:tcPr>
          <w:p>
            <w:pPr>
              <w:pStyle w:val="TableContents"/>
              <w:bidi w:val="0"/>
              <w:spacing w:before="0" w:after="283"/>
              <w:jc w:val="right"/>
              <w:rPr/>
            </w:pPr>
            <w:r>
              <w:rPr/>
              <w:t>171</w:t>
            </w:r>
          </w:p>
        </w:tc>
        <w:tc>
          <w:tcPr>
            <w:tcW w:w="146" w:type="dxa"/>
            <w:tcBorders/>
            <w:shd w:fill="FFFFFF" w:val="clear"/>
            <w:vAlign w:val="center"/>
          </w:tcPr>
          <w:p>
            <w:pPr>
              <w:pStyle w:val="TableContents"/>
              <w:bidi w:val="0"/>
              <w:spacing w:before="0" w:after="283"/>
              <w:jc w:val="left"/>
              <w:rPr>
                <w:sz w:val="4"/>
                <w:szCs w:val="4"/>
              </w:rPr>
            </w:pPr>
            <w:r>
              <w:rPr>
                <w:sz w:val="4"/>
                <w:szCs w:val="4"/>
              </w:rPr>
            </w:r>
          </w:p>
        </w:tc>
      </w:tr>
      <w:tr>
        <w:trPr/>
        <w:tc>
          <w:tcPr>
            <w:tcW w:w="7461"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before="0" w:after="283"/>
              <w:jc w:val="right"/>
              <w:rPr/>
            </w:pPr>
            <w:r>
              <w:rPr/>
              <w:t>1,761</w:t>
            </w:r>
          </w:p>
        </w:tc>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7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before="0" w:after="283"/>
              <w:jc w:val="right"/>
              <w:rPr/>
            </w:pPr>
            <w:r>
              <w:rPr/>
              <w:t>108</w:t>
            </w:r>
          </w:p>
        </w:tc>
        <w:tc>
          <w:tcPr>
            <w:tcW w:w="146" w:type="dxa"/>
            <w:tcBorders/>
            <w:shd w:fill="CCEEFF" w:val="clear"/>
            <w:vAlign w:val="center"/>
          </w:tcPr>
          <w:p>
            <w:pPr>
              <w:pStyle w:val="TableContents"/>
              <w:bidi w:val="0"/>
              <w:spacing w:before="0" w:after="283"/>
              <w:jc w:val="left"/>
              <w:rPr>
                <w:sz w:val="4"/>
                <w:szCs w:val="4"/>
              </w:rPr>
            </w:pPr>
            <w:r>
              <w:rPr>
                <w:sz w:val="4"/>
                <w:szCs w:val="4"/>
              </w:rPr>
            </w:r>
          </w:p>
        </w:tc>
      </w:tr>
      <w:tr>
        <w:trPr/>
        <w:tc>
          <w:tcPr>
            <w:tcW w:w="7461"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sz w:val="4"/>
                <w:szCs w:val="4"/>
              </w:rPr>
            </w:pPr>
            <w:r>
              <w:rPr>
                <w:sz w:val="4"/>
                <w:szCs w:val="4"/>
              </w:rPr>
            </w:r>
          </w:p>
        </w:tc>
        <w:tc>
          <w:tcPr>
            <w:tcW w:w="986" w:type="dxa"/>
            <w:tcBorders/>
            <w:shd w:fill="FFFFFF" w:val="clear"/>
            <w:vAlign w:val="center"/>
          </w:tcPr>
          <w:p>
            <w:pPr>
              <w:pStyle w:val="TableContents"/>
              <w:bidi w:val="0"/>
              <w:spacing w:before="0" w:after="283"/>
              <w:jc w:val="right"/>
              <w:rPr/>
            </w:pPr>
            <w:r>
              <w:rPr/>
              <w:t>(1,522</w:t>
            </w:r>
          </w:p>
        </w:tc>
        <w:tc>
          <w:tcPr>
            <w:tcW w:w="124"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sz w:val="4"/>
                <w:szCs w:val="4"/>
              </w:rPr>
            </w:pPr>
            <w:r>
              <w:rPr>
                <w:sz w:val="4"/>
                <w:szCs w:val="4"/>
              </w:rPr>
            </w:r>
          </w:p>
        </w:tc>
        <w:tc>
          <w:tcPr>
            <w:tcW w:w="986" w:type="dxa"/>
            <w:tcBorders/>
            <w:shd w:fill="FFFFFF" w:val="clear"/>
            <w:vAlign w:val="center"/>
          </w:tcPr>
          <w:p>
            <w:pPr>
              <w:pStyle w:val="TableContents"/>
              <w:bidi w:val="0"/>
              <w:spacing w:before="0" w:after="283"/>
              <w:jc w:val="right"/>
              <w:rPr/>
            </w:pPr>
            <w:r>
              <w:rPr/>
              <w:t>(1,402</w:t>
            </w:r>
          </w:p>
        </w:tc>
        <w:tc>
          <w:tcPr>
            <w:tcW w:w="146" w:type="dxa"/>
            <w:tcBorders/>
            <w:shd w:fill="FFFFFF" w:val="clear"/>
            <w:vAlign w:val="center"/>
          </w:tcPr>
          <w:p>
            <w:pPr>
              <w:pStyle w:val="TableContents"/>
              <w:bidi w:val="0"/>
              <w:spacing w:before="0" w:after="283"/>
              <w:jc w:val="left"/>
              <w:rPr/>
            </w:pPr>
            <w:r>
              <w:rPr/>
              <w:t>)</w:t>
            </w:r>
          </w:p>
        </w:tc>
      </w:tr>
      <w:tr>
        <w:trPr/>
        <w:tc>
          <w:tcPr>
            <w:tcW w:w="7461"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before="0" w:after="283"/>
              <w:jc w:val="right"/>
              <w:rPr/>
            </w:pPr>
            <w:r>
              <w:rPr/>
              <w:t>(1,532</w:t>
            </w:r>
          </w:p>
        </w:tc>
        <w:tc>
          <w:tcPr>
            <w:tcW w:w="124"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before="0" w:after="283"/>
              <w:jc w:val="right"/>
              <w:rPr/>
            </w:pPr>
            <w:r>
              <w:rPr/>
              <w:t>(799</w:t>
            </w:r>
          </w:p>
        </w:tc>
        <w:tc>
          <w:tcPr>
            <w:tcW w:w="146" w:type="dxa"/>
            <w:tcBorders/>
            <w:shd w:fill="CCEEFF" w:val="clear"/>
            <w:vAlign w:val="center"/>
          </w:tcPr>
          <w:p>
            <w:pPr>
              <w:pStyle w:val="TableContents"/>
              <w:bidi w:val="0"/>
              <w:spacing w:before="0" w:after="283"/>
              <w:jc w:val="left"/>
              <w:rPr/>
            </w:pPr>
            <w:r>
              <w:rPr/>
              <w:t>)</w:t>
            </w:r>
          </w:p>
        </w:tc>
      </w:tr>
      <w:tr>
        <w:trPr/>
        <w:tc>
          <w:tcPr>
            <w:tcW w:w="7461" w:type="dxa"/>
            <w:tcBorders/>
            <w:shd w:fill="FFFFFF" w:val="clear"/>
            <w:vAlign w:val="center"/>
          </w:tcPr>
          <w:p>
            <w:pPr>
              <w:pStyle w:val="TableContents"/>
              <w:bidi w:val="0"/>
              <w:spacing w:before="0" w:after="283"/>
              <w:jc w:val="left"/>
              <w:rPr/>
            </w:pPr>
            <w:r>
              <w:rPr/>
              <w:t>Contract liabilities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sz w:val="4"/>
                <w:szCs w:val="4"/>
              </w:rPr>
            </w:pPr>
            <w:r>
              <w:rPr>
                <w:sz w:val="4"/>
                <w:szCs w:val="4"/>
              </w:rPr>
            </w:r>
          </w:p>
        </w:tc>
        <w:tc>
          <w:tcPr>
            <w:tcW w:w="986" w:type="dxa"/>
            <w:tcBorders/>
            <w:shd w:fill="FFFFFF" w:val="clear"/>
            <w:vAlign w:val="center"/>
          </w:tcPr>
          <w:p>
            <w:pPr>
              <w:pStyle w:val="TableContents"/>
              <w:bidi w:val="0"/>
              <w:spacing w:before="0" w:after="283"/>
              <w:jc w:val="right"/>
              <w:rPr/>
            </w:pPr>
            <w:r>
              <w:rPr/>
              <w:t>—  </w:t>
            </w:r>
          </w:p>
        </w:tc>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78"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sz w:val="4"/>
                <w:szCs w:val="4"/>
              </w:rPr>
            </w:pPr>
            <w:r>
              <w:rPr>
                <w:sz w:val="4"/>
                <w:szCs w:val="4"/>
              </w:rPr>
            </w:r>
          </w:p>
        </w:tc>
        <w:tc>
          <w:tcPr>
            <w:tcW w:w="986" w:type="dxa"/>
            <w:tcBorders/>
            <w:shd w:fill="FFFFFF" w:val="clear"/>
            <w:vAlign w:val="center"/>
          </w:tcPr>
          <w:p>
            <w:pPr>
              <w:pStyle w:val="TableContents"/>
              <w:bidi w:val="0"/>
              <w:spacing w:before="0" w:after="283"/>
              <w:jc w:val="right"/>
              <w:rPr/>
            </w:pPr>
            <w:r>
              <w:rPr/>
              <w:t>74</w:t>
            </w:r>
          </w:p>
        </w:tc>
        <w:tc>
          <w:tcPr>
            <w:tcW w:w="146" w:type="dxa"/>
            <w:tcBorders/>
            <w:shd w:fill="FFFFFF" w:val="clear"/>
            <w:vAlign w:val="center"/>
          </w:tcPr>
          <w:p>
            <w:pPr>
              <w:pStyle w:val="TableContents"/>
              <w:bidi w:val="0"/>
              <w:spacing w:before="0" w:after="283"/>
              <w:jc w:val="left"/>
              <w:rPr>
                <w:sz w:val="4"/>
                <w:szCs w:val="4"/>
              </w:rPr>
            </w:pPr>
            <w:r>
              <w:rPr>
                <w:sz w:val="4"/>
                <w:szCs w:val="4"/>
              </w:rPr>
            </w:r>
          </w:p>
        </w:tc>
      </w:tr>
      <w:tr>
        <w:trPr/>
        <w:tc>
          <w:tcPr>
            <w:tcW w:w="7461" w:type="dxa"/>
            <w:tcBorders/>
            <w:shd w:fill="CCEEFF" w:val="clear"/>
            <w:vAlign w:val="center"/>
          </w:tcPr>
          <w:p>
            <w:pPr>
              <w:pStyle w:val="TableContents"/>
              <w:bidi w:val="0"/>
              <w:spacing w:before="0" w:after="283"/>
              <w:jc w:val="left"/>
              <w:rPr/>
            </w:pPr>
            <w:r>
              <w:rPr/>
              <w:t>Other noncurrent liabilities</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shd w:fill="CCEEFF" w:val="clear"/>
            <w:tcMar>
              <w:bottom w:w="28" w:type="dxa"/>
            </w:tcMar>
            <w:vAlign w:val="center"/>
          </w:tcPr>
          <w:p>
            <w:pPr>
              <w:pStyle w:val="TableContents"/>
              <w:bidi w:val="0"/>
              <w:spacing w:before="0" w:after="283"/>
              <w:jc w:val="right"/>
              <w:rPr/>
            </w:pPr>
            <w:r>
              <w:rPr/>
              <w:t>(358</w:t>
            </w:r>
          </w:p>
        </w:tc>
        <w:tc>
          <w:tcPr>
            <w:tcW w:w="146" w:type="dxa"/>
            <w:tcBorders/>
            <w:shd w:fill="CCEEFF" w:val="clear"/>
            <w:vAlign w:val="center"/>
          </w:tcPr>
          <w:p>
            <w:pPr>
              <w:pStyle w:val="TableContents"/>
              <w:bidi w:val="0"/>
              <w:spacing w:before="0" w:after="283"/>
              <w:jc w:val="left"/>
              <w:rPr/>
            </w:pPr>
            <w:r>
              <w:rPr/>
              <w:t>)</w:t>
            </w:r>
          </w:p>
        </w:tc>
      </w:tr>
      <w:tr>
        <w:trPr/>
        <w:tc>
          <w:tcPr>
            <w:tcW w:w="7461" w:type="dxa"/>
            <w:tcBorders/>
            <w:shd w:fill="FFFFFF" w:val="clear"/>
            <w:vAlign w:val="center"/>
          </w:tcPr>
          <w:p>
            <w:pPr>
              <w:pStyle w:val="TableContents"/>
              <w:bidi w:val="0"/>
              <w:spacing w:before="0" w:after="283"/>
              <w:jc w:val="left"/>
              <w:rPr/>
            </w:pPr>
            <w:r>
              <w:rPr/>
              <w:t> </w:t>
            </w:r>
            <w:r>
              <w:rPr/>
              <w:t>Net cash used in operating activities</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shd w:fill="FFFFFF" w:val="clear"/>
            <w:tcMar>
              <w:bottom w:w="28" w:type="dxa"/>
            </w:tcMar>
            <w:vAlign w:val="center"/>
          </w:tcPr>
          <w:p>
            <w:pPr>
              <w:pStyle w:val="TableContents"/>
              <w:bidi w:val="0"/>
              <w:spacing w:before="0" w:after="283"/>
              <w:jc w:val="right"/>
              <w:rPr/>
            </w:pPr>
            <w:r>
              <w:rPr/>
              <w:t>(14,158</w:t>
            </w:r>
          </w:p>
        </w:tc>
        <w:tc>
          <w:tcPr>
            <w:tcW w:w="124"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sz w:val="4"/>
                <w:szCs w:val="4"/>
              </w:rPr>
            </w:pPr>
            <w:r>
              <w:rPr>
                <w:sz w:val="4"/>
                <w:szCs w:val="4"/>
              </w:rPr>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shd w:fill="FFFFFF" w:val="clear"/>
            <w:tcMar>
              <w:bottom w:w="28" w:type="dxa"/>
            </w:tcMar>
            <w:vAlign w:val="center"/>
          </w:tcPr>
          <w:p>
            <w:pPr>
              <w:pStyle w:val="TableContents"/>
              <w:bidi w:val="0"/>
              <w:spacing w:before="0" w:after="283"/>
              <w:jc w:val="right"/>
              <w:rPr/>
            </w:pPr>
            <w:r>
              <w:rPr/>
              <w:t>(14,241</w:t>
            </w:r>
          </w:p>
        </w:tc>
        <w:tc>
          <w:tcPr>
            <w:tcW w:w="146" w:type="dxa"/>
            <w:tcBorders/>
            <w:shd w:fill="FFFFFF" w:val="clear"/>
            <w:vAlign w:val="center"/>
          </w:tcPr>
          <w:p>
            <w:pPr>
              <w:pStyle w:val="TableContents"/>
              <w:bidi w:val="0"/>
              <w:spacing w:before="0" w:after="283"/>
              <w:jc w:val="left"/>
              <w:rPr/>
            </w:pPr>
            <w:r>
              <w:rPr/>
              <w:t>)</w:t>
            </w:r>
          </w:p>
        </w:tc>
      </w:tr>
      <w:tr>
        <w:trPr/>
        <w:tc>
          <w:tcPr>
            <w:tcW w:w="7461"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before="0" w:after="283"/>
              <w:jc w:val="right"/>
              <w:rPr/>
            </w:pPr>
            <w:r>
              <w:rPr/>
              <w:t> </w:t>
            </w:r>
          </w:p>
        </w:tc>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7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sz w:val="4"/>
                <w:szCs w:val="4"/>
              </w:rPr>
            </w:pPr>
            <w:r>
              <w:rPr>
                <w:sz w:val="4"/>
                <w:szCs w:val="4"/>
              </w:rPr>
            </w:r>
          </w:p>
        </w:tc>
      </w:tr>
      <w:tr>
        <w:trPr/>
        <w:tc>
          <w:tcPr>
            <w:tcW w:w="7461" w:type="dxa"/>
            <w:tcBorders/>
            <w:shd w:fill="FFFFFF" w:val="clear"/>
            <w:vAlign w:val="center"/>
          </w:tcPr>
          <w:p>
            <w:pPr>
              <w:pStyle w:val="TableContents"/>
              <w:bidi w:val="0"/>
              <w:spacing w:before="0" w:after="283"/>
              <w:jc w:val="left"/>
              <w:rPr/>
            </w:pPr>
            <w:r>
              <w:rPr/>
              <w:t>Purchases of property and equipment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sz w:val="4"/>
                <w:szCs w:val="4"/>
              </w:rPr>
            </w:pPr>
            <w:r>
              <w:rPr>
                <w:sz w:val="4"/>
                <w:szCs w:val="4"/>
              </w:rPr>
            </w:r>
          </w:p>
        </w:tc>
        <w:tc>
          <w:tcPr>
            <w:tcW w:w="986" w:type="dxa"/>
            <w:tcBorders/>
            <w:shd w:fill="FFFFFF" w:val="clear"/>
            <w:vAlign w:val="center"/>
          </w:tcPr>
          <w:p>
            <w:pPr>
              <w:pStyle w:val="TableContents"/>
              <w:bidi w:val="0"/>
              <w:spacing w:before="0" w:after="283"/>
              <w:jc w:val="right"/>
              <w:rPr/>
            </w:pPr>
            <w:r>
              <w:rPr/>
              <w:t>(14</w:t>
            </w:r>
          </w:p>
        </w:tc>
        <w:tc>
          <w:tcPr>
            <w:tcW w:w="124"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sz w:val="4"/>
                <w:szCs w:val="4"/>
              </w:rPr>
            </w:pPr>
            <w:r>
              <w:rPr>
                <w:sz w:val="4"/>
                <w:szCs w:val="4"/>
              </w:rPr>
            </w:r>
          </w:p>
        </w:tc>
        <w:tc>
          <w:tcPr>
            <w:tcW w:w="986" w:type="dxa"/>
            <w:tcBorders/>
            <w:shd w:fill="FFFFFF" w:val="clear"/>
            <w:vAlign w:val="center"/>
          </w:tcPr>
          <w:p>
            <w:pPr>
              <w:pStyle w:val="TableContents"/>
              <w:bidi w:val="0"/>
              <w:spacing w:before="0" w:after="283"/>
              <w:jc w:val="right"/>
              <w:rPr/>
            </w:pPr>
            <w:r>
              <w:rPr/>
              <w:t>(234</w:t>
            </w:r>
          </w:p>
        </w:tc>
        <w:tc>
          <w:tcPr>
            <w:tcW w:w="146" w:type="dxa"/>
            <w:tcBorders/>
            <w:shd w:fill="FFFFFF" w:val="clear"/>
            <w:vAlign w:val="center"/>
          </w:tcPr>
          <w:p>
            <w:pPr>
              <w:pStyle w:val="TableContents"/>
              <w:bidi w:val="0"/>
              <w:spacing w:before="0" w:after="283"/>
              <w:jc w:val="left"/>
              <w:rPr/>
            </w:pPr>
            <w:r>
              <w:rPr/>
              <w:t>)</w:t>
            </w:r>
          </w:p>
        </w:tc>
      </w:tr>
      <w:tr>
        <w:trPr/>
        <w:tc>
          <w:tcPr>
            <w:tcW w:w="7461" w:type="dxa"/>
            <w:tcBorders/>
            <w:shd w:fill="CCEEFF" w:val="clear"/>
            <w:vAlign w:val="center"/>
          </w:tcPr>
          <w:p>
            <w:pPr>
              <w:pStyle w:val="TableContents"/>
              <w:bidi w:val="0"/>
              <w:spacing w:before="0" w:after="283"/>
              <w:jc w:val="left"/>
              <w:rPr/>
            </w:pPr>
            <w:r>
              <w:rPr/>
              <w:t>Purchases of marketable securities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before="0" w:after="283"/>
              <w:jc w:val="right"/>
              <w:rPr/>
            </w:pPr>
            <w:r>
              <w:rPr/>
              <w:t>(14,303</w:t>
            </w:r>
          </w:p>
        </w:tc>
        <w:tc>
          <w:tcPr>
            <w:tcW w:w="124"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before="0" w:after="283"/>
              <w:jc w:val="right"/>
              <w:rPr/>
            </w:pPr>
            <w:r>
              <w:rPr/>
              <w:t>(15,173</w:t>
            </w:r>
          </w:p>
        </w:tc>
        <w:tc>
          <w:tcPr>
            <w:tcW w:w="146" w:type="dxa"/>
            <w:tcBorders/>
            <w:shd w:fill="CCEEFF" w:val="clear"/>
            <w:vAlign w:val="center"/>
          </w:tcPr>
          <w:p>
            <w:pPr>
              <w:pStyle w:val="TableContents"/>
              <w:bidi w:val="0"/>
              <w:spacing w:before="0" w:after="283"/>
              <w:jc w:val="left"/>
              <w:rPr/>
            </w:pPr>
            <w:r>
              <w:rPr/>
              <w:t>)</w:t>
            </w:r>
          </w:p>
        </w:tc>
      </w:tr>
      <w:tr>
        <w:trPr/>
        <w:tc>
          <w:tcPr>
            <w:tcW w:w="7461" w:type="dxa"/>
            <w:tcBorders/>
            <w:shd w:fill="FFFFFF" w:val="clear"/>
            <w:vAlign w:val="center"/>
          </w:tcPr>
          <w:p>
            <w:pPr>
              <w:pStyle w:val="TableContents"/>
              <w:bidi w:val="0"/>
              <w:spacing w:before="0" w:after="283"/>
              <w:jc w:val="left"/>
              <w:rPr/>
            </w:pPr>
            <w:r>
              <w:rPr/>
              <w:t xml:space="preserve">Proceeds from redemptions and maturities of marketable </w:t>
              <w:br/>
              <w:t>securities</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shd w:fill="FFFFFF" w:val="clear"/>
            <w:tcMar>
              <w:bottom w:w="28" w:type="dxa"/>
            </w:tcMar>
            <w:vAlign w:val="center"/>
          </w:tcPr>
          <w:p>
            <w:pPr>
              <w:pStyle w:val="TableContents"/>
              <w:bidi w:val="0"/>
              <w:spacing w:before="0" w:after="283"/>
              <w:jc w:val="right"/>
              <w:rPr/>
            </w:pPr>
            <w:r>
              <w:rPr/>
              <w:t>9,631</w:t>
            </w:r>
          </w:p>
        </w:tc>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78" w:type="dxa"/>
            <w:tcBorders/>
            <w:shd w:fill="FFFFFF" w:val="clear"/>
            <w:vAlign w:val="center"/>
          </w:tcPr>
          <w:p>
            <w:pPr>
              <w:pStyle w:val="TableContents"/>
              <w:bidi w:val="0"/>
              <w:spacing w:before="0" w:after="283"/>
              <w:jc w:val="left"/>
              <w:rPr>
                <w:sz w:val="4"/>
                <w:szCs w:val="4"/>
              </w:rPr>
            </w:pPr>
            <w:r>
              <w:rPr>
                <w:sz w:val="4"/>
                <w:szCs w:val="4"/>
              </w:rPr>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shd w:fill="FFFFFF" w:val="clear"/>
            <w:tcMar>
              <w:bottom w:w="28" w:type="dxa"/>
            </w:tcMar>
            <w:vAlign w:val="center"/>
          </w:tcPr>
          <w:p>
            <w:pPr>
              <w:pStyle w:val="TableContents"/>
              <w:bidi w:val="0"/>
              <w:spacing w:before="0" w:after="283"/>
              <w:jc w:val="right"/>
              <w:rPr/>
            </w:pPr>
            <w:r>
              <w:rPr/>
              <w:t>18,400</w:t>
            </w:r>
          </w:p>
        </w:tc>
        <w:tc>
          <w:tcPr>
            <w:tcW w:w="146" w:type="dxa"/>
            <w:tcBorders/>
            <w:shd w:fill="FFFFFF" w:val="clear"/>
            <w:vAlign w:val="center"/>
          </w:tcPr>
          <w:p>
            <w:pPr>
              <w:pStyle w:val="TableContents"/>
              <w:bidi w:val="0"/>
              <w:spacing w:before="0" w:after="283"/>
              <w:jc w:val="left"/>
              <w:rPr>
                <w:sz w:val="4"/>
                <w:szCs w:val="4"/>
              </w:rPr>
            </w:pPr>
            <w:r>
              <w:rPr>
                <w:sz w:val="4"/>
                <w:szCs w:val="4"/>
              </w:rPr>
            </w:r>
          </w:p>
        </w:tc>
      </w:tr>
      <w:tr>
        <w:trPr/>
        <w:tc>
          <w:tcPr>
            <w:tcW w:w="7461" w:type="dxa"/>
            <w:tcBorders/>
            <w:shd w:fill="CCEEFF" w:val="clear"/>
            <w:vAlign w:val="center"/>
          </w:tcPr>
          <w:p>
            <w:pPr>
              <w:pStyle w:val="TableContents"/>
              <w:bidi w:val="0"/>
              <w:spacing w:before="0" w:after="283"/>
              <w:jc w:val="left"/>
              <w:rPr/>
            </w:pPr>
            <w:r>
              <w:rPr/>
              <w:t> </w:t>
            </w:r>
            <w:r>
              <w:rPr/>
              <w:t>Net cash (used in) provided by investing activities</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shd w:fill="CCEEFF" w:val="clear"/>
            <w:tcMar>
              <w:bottom w:w="28" w:type="dxa"/>
            </w:tcMar>
            <w:vAlign w:val="center"/>
          </w:tcPr>
          <w:p>
            <w:pPr>
              <w:pStyle w:val="TableContents"/>
              <w:bidi w:val="0"/>
              <w:spacing w:before="0" w:after="283"/>
              <w:jc w:val="right"/>
              <w:rPr/>
            </w:pPr>
            <w:r>
              <w:rPr/>
              <w:t>(4,686</w:t>
            </w:r>
          </w:p>
        </w:tc>
        <w:tc>
          <w:tcPr>
            <w:tcW w:w="124"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shd w:fill="CCEEFF" w:val="clear"/>
            <w:tcMar>
              <w:bottom w:w="28" w:type="dxa"/>
            </w:tcMar>
            <w:vAlign w:val="center"/>
          </w:tcPr>
          <w:p>
            <w:pPr>
              <w:pStyle w:val="TableContents"/>
              <w:bidi w:val="0"/>
              <w:spacing w:before="0" w:after="283"/>
              <w:jc w:val="right"/>
              <w:rPr/>
            </w:pPr>
            <w:r>
              <w:rPr/>
              <w:t>2,993</w:t>
            </w:r>
          </w:p>
        </w:tc>
        <w:tc>
          <w:tcPr>
            <w:tcW w:w="146" w:type="dxa"/>
            <w:tcBorders/>
            <w:shd w:fill="CCEEFF" w:val="clear"/>
            <w:vAlign w:val="center"/>
          </w:tcPr>
          <w:p>
            <w:pPr>
              <w:pStyle w:val="TableContents"/>
              <w:bidi w:val="0"/>
              <w:spacing w:before="0" w:after="283"/>
              <w:jc w:val="left"/>
              <w:rPr>
                <w:sz w:val="4"/>
                <w:szCs w:val="4"/>
              </w:rPr>
            </w:pPr>
            <w:r>
              <w:rPr>
                <w:sz w:val="4"/>
                <w:szCs w:val="4"/>
              </w:rPr>
            </w:r>
          </w:p>
        </w:tc>
      </w:tr>
      <w:tr>
        <w:trPr/>
        <w:tc>
          <w:tcPr>
            <w:tcW w:w="7461"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sz w:val="4"/>
                <w:szCs w:val="4"/>
              </w:rPr>
            </w:pPr>
            <w:r>
              <w:rPr>
                <w:sz w:val="4"/>
                <w:szCs w:val="4"/>
              </w:rPr>
            </w:r>
          </w:p>
        </w:tc>
        <w:tc>
          <w:tcPr>
            <w:tcW w:w="986" w:type="dxa"/>
            <w:tcBorders/>
            <w:shd w:fill="FFFFFF" w:val="clear"/>
            <w:vAlign w:val="center"/>
          </w:tcPr>
          <w:p>
            <w:pPr>
              <w:pStyle w:val="TableContents"/>
              <w:bidi w:val="0"/>
              <w:spacing w:before="0" w:after="283"/>
              <w:jc w:val="right"/>
              <w:rPr/>
            </w:pPr>
            <w:r>
              <w:rPr/>
              <w:t> </w:t>
            </w:r>
          </w:p>
        </w:tc>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78"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sz w:val="4"/>
                <w:szCs w:val="4"/>
              </w:rPr>
            </w:pPr>
            <w:r>
              <w:rPr>
                <w:sz w:val="4"/>
                <w:szCs w:val="4"/>
              </w:rPr>
            </w:r>
          </w:p>
        </w:tc>
        <w:tc>
          <w:tcPr>
            <w:tcW w:w="9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r>
      <w:tr>
        <w:trPr/>
        <w:tc>
          <w:tcPr>
            <w:tcW w:w="7461" w:type="dxa"/>
            <w:tcBorders/>
            <w:shd w:fill="CCEEFF" w:val="clear"/>
            <w:vAlign w:val="center"/>
          </w:tcPr>
          <w:p>
            <w:pPr>
              <w:pStyle w:val="TableContents"/>
              <w:bidi w:val="0"/>
              <w:spacing w:before="0" w:after="283"/>
              <w:jc w:val="left"/>
              <w:rPr/>
            </w:pPr>
            <w:r>
              <w:rPr/>
              <w:t>Proceeds from exercise of stock options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before="0" w:after="283"/>
              <w:jc w:val="right"/>
              <w:rPr/>
            </w:pPr>
            <w:r>
              <w:rPr/>
              <w:t>—  </w:t>
            </w:r>
          </w:p>
        </w:tc>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7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before="0" w:after="283"/>
              <w:jc w:val="right"/>
              <w:rPr/>
            </w:pPr>
            <w:r>
              <w:rPr/>
              <w:t>134</w:t>
            </w:r>
          </w:p>
        </w:tc>
        <w:tc>
          <w:tcPr>
            <w:tcW w:w="146" w:type="dxa"/>
            <w:tcBorders/>
            <w:shd w:fill="CCEEFF" w:val="clear"/>
            <w:vAlign w:val="center"/>
          </w:tcPr>
          <w:p>
            <w:pPr>
              <w:pStyle w:val="TableContents"/>
              <w:bidi w:val="0"/>
              <w:spacing w:before="0" w:after="283"/>
              <w:jc w:val="left"/>
              <w:rPr>
                <w:sz w:val="4"/>
                <w:szCs w:val="4"/>
              </w:rPr>
            </w:pPr>
            <w:r>
              <w:rPr>
                <w:sz w:val="4"/>
                <w:szCs w:val="4"/>
              </w:rPr>
            </w:r>
          </w:p>
        </w:tc>
      </w:tr>
      <w:tr>
        <w:trPr/>
        <w:tc>
          <w:tcPr>
            <w:tcW w:w="7461" w:type="dxa"/>
            <w:tcBorders/>
            <w:shd w:fill="FFFFFF" w:val="clear"/>
            <w:vAlign w:val="center"/>
          </w:tcPr>
          <w:p>
            <w:pPr>
              <w:pStyle w:val="TableContents"/>
              <w:bidi w:val="0"/>
              <w:spacing w:before="0" w:after="283"/>
              <w:jc w:val="left"/>
              <w:rPr/>
            </w:pPr>
            <w:r>
              <w:rPr/>
              <w:t>Proceeds from the issuance of convertible note</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sz w:val="4"/>
                <w:szCs w:val="4"/>
              </w:rPr>
            </w:pPr>
            <w:r>
              <w:rPr>
                <w:sz w:val="4"/>
                <w:szCs w:val="4"/>
              </w:rPr>
            </w:r>
          </w:p>
        </w:tc>
        <w:tc>
          <w:tcPr>
            <w:tcW w:w="986" w:type="dxa"/>
            <w:tcBorders/>
            <w:shd w:fill="FFFFFF" w:val="clear"/>
            <w:vAlign w:val="center"/>
          </w:tcPr>
          <w:p>
            <w:pPr>
              <w:pStyle w:val="TableContents"/>
              <w:bidi w:val="0"/>
              <w:spacing w:before="0" w:after="283"/>
              <w:jc w:val="right"/>
              <w:rPr/>
            </w:pPr>
            <w:r>
              <w:rPr/>
              <w:t>2,950</w:t>
            </w:r>
          </w:p>
        </w:tc>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78"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sz w:val="4"/>
                <w:szCs w:val="4"/>
              </w:rPr>
            </w:pPr>
            <w:r>
              <w:rPr>
                <w:sz w:val="4"/>
                <w:szCs w:val="4"/>
              </w:rPr>
            </w:r>
          </w:p>
        </w:tc>
        <w:tc>
          <w:tcPr>
            <w:tcW w:w="986" w:type="dxa"/>
            <w:tcBorders/>
            <w:shd w:fill="FFFFFF" w:val="clear"/>
            <w:vAlign w:val="center"/>
          </w:tcPr>
          <w:p>
            <w:pPr>
              <w:pStyle w:val="TableContents"/>
              <w:bidi w:val="0"/>
              <w:spacing w:before="0" w:after="283"/>
              <w:jc w:val="right"/>
              <w:rPr/>
            </w:pPr>
            <w:r>
              <w:rPr/>
              <w:t>146</w:t>
            </w:r>
          </w:p>
        </w:tc>
        <w:tc>
          <w:tcPr>
            <w:tcW w:w="146" w:type="dxa"/>
            <w:tcBorders/>
            <w:shd w:fill="FFFFFF" w:val="clear"/>
            <w:vAlign w:val="center"/>
          </w:tcPr>
          <w:p>
            <w:pPr>
              <w:pStyle w:val="TableContents"/>
              <w:bidi w:val="0"/>
              <w:spacing w:before="0" w:after="283"/>
              <w:jc w:val="left"/>
              <w:rPr>
                <w:sz w:val="4"/>
                <w:szCs w:val="4"/>
              </w:rPr>
            </w:pPr>
            <w:r>
              <w:rPr>
                <w:sz w:val="4"/>
                <w:szCs w:val="4"/>
              </w:rPr>
            </w:r>
          </w:p>
        </w:tc>
      </w:tr>
      <w:tr>
        <w:trPr/>
        <w:tc>
          <w:tcPr>
            <w:tcW w:w="7461" w:type="dxa"/>
            <w:tcBorders/>
            <w:shd w:fill="CCEEFF" w:val="clear"/>
            <w:vAlign w:val="center"/>
          </w:tcPr>
          <w:p>
            <w:pPr>
              <w:pStyle w:val="TableContents"/>
              <w:bidi w:val="0"/>
              <w:spacing w:before="0" w:after="283"/>
              <w:jc w:val="left"/>
              <w:rPr/>
            </w:pPr>
            <w:r>
              <w:rPr/>
              <w:t>Payments for convertible note redemptions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before="0" w:after="283"/>
              <w:jc w:val="right"/>
              <w:rPr/>
            </w:pPr>
            <w:r>
              <w:rPr/>
              <w:t>(750</w:t>
            </w:r>
          </w:p>
        </w:tc>
        <w:tc>
          <w:tcPr>
            <w:tcW w:w="124"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sz w:val="4"/>
                <w:szCs w:val="4"/>
              </w:rPr>
            </w:pPr>
            <w:r>
              <w:rPr>
                <w:sz w:val="4"/>
                <w:szCs w:val="4"/>
              </w:rPr>
            </w:r>
          </w:p>
        </w:tc>
      </w:tr>
      <w:tr>
        <w:trPr/>
        <w:tc>
          <w:tcPr>
            <w:tcW w:w="7461" w:type="dxa"/>
            <w:tcBorders/>
            <w:shd w:fill="FFFFFF" w:val="clear"/>
            <w:vAlign w:val="center"/>
          </w:tcPr>
          <w:p>
            <w:pPr>
              <w:pStyle w:val="TableContents"/>
              <w:bidi w:val="0"/>
              <w:spacing w:before="0" w:after="283"/>
              <w:jc w:val="left"/>
              <w:rPr/>
            </w:pPr>
            <w:r>
              <w:rPr/>
              <w:t>Transaction costs related to issuance of convertible note</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sz w:val="4"/>
                <w:szCs w:val="4"/>
              </w:rPr>
            </w:pPr>
            <w:r>
              <w:rPr>
                <w:sz w:val="4"/>
                <w:szCs w:val="4"/>
              </w:rPr>
            </w:r>
          </w:p>
        </w:tc>
        <w:tc>
          <w:tcPr>
            <w:tcW w:w="986" w:type="dxa"/>
            <w:tcBorders/>
            <w:shd w:fill="FFFFFF" w:val="clear"/>
            <w:vAlign w:val="center"/>
          </w:tcPr>
          <w:p>
            <w:pPr>
              <w:pStyle w:val="TableContents"/>
              <w:bidi w:val="0"/>
              <w:spacing w:before="0" w:after="283"/>
              <w:jc w:val="right"/>
              <w:rPr/>
            </w:pPr>
            <w:r>
              <w:rPr/>
              <w:t>(608</w:t>
            </w:r>
          </w:p>
        </w:tc>
        <w:tc>
          <w:tcPr>
            <w:tcW w:w="124"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sz w:val="4"/>
                <w:szCs w:val="4"/>
              </w:rPr>
            </w:pPr>
            <w:r>
              <w:rPr>
                <w:sz w:val="4"/>
                <w:szCs w:val="4"/>
              </w:rPr>
            </w:r>
          </w:p>
        </w:tc>
        <w:tc>
          <w:tcPr>
            <w:tcW w:w="9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r>
      <w:tr>
        <w:trPr/>
        <w:tc>
          <w:tcPr>
            <w:tcW w:w="7461" w:type="dxa"/>
            <w:tcBorders/>
            <w:shd w:fill="CCEEFF" w:val="clear"/>
            <w:vAlign w:val="center"/>
          </w:tcPr>
          <w:p>
            <w:pPr>
              <w:pStyle w:val="TableContents"/>
              <w:bidi w:val="0"/>
              <w:spacing w:before="0" w:after="283"/>
              <w:jc w:val="left"/>
              <w:rPr/>
            </w:pPr>
            <w:r>
              <w:rPr/>
              <w:t xml:space="preserve">Proceeds from issuance of common stock under the </w:t>
              <w:br/>
              <w:t>Common Stock Purchase Agreements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before="0" w:after="283"/>
              <w:jc w:val="right"/>
              <w:rPr/>
            </w:pPr>
            <w:r>
              <w:rPr/>
              <w:t>10,076</w:t>
            </w:r>
          </w:p>
        </w:tc>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7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before="0" w:after="283"/>
              <w:jc w:val="right"/>
              <w:rPr/>
            </w:pPr>
            <w:r>
              <w:rPr/>
              <w:t>5,560</w:t>
            </w:r>
          </w:p>
        </w:tc>
        <w:tc>
          <w:tcPr>
            <w:tcW w:w="146" w:type="dxa"/>
            <w:tcBorders/>
            <w:shd w:fill="CCEEFF" w:val="clear"/>
            <w:vAlign w:val="center"/>
          </w:tcPr>
          <w:p>
            <w:pPr>
              <w:pStyle w:val="TableContents"/>
              <w:bidi w:val="0"/>
              <w:spacing w:before="0" w:after="283"/>
              <w:jc w:val="left"/>
              <w:rPr>
                <w:sz w:val="4"/>
                <w:szCs w:val="4"/>
              </w:rPr>
            </w:pPr>
            <w:r>
              <w:rPr>
                <w:sz w:val="4"/>
                <w:szCs w:val="4"/>
              </w:rPr>
            </w:r>
          </w:p>
        </w:tc>
      </w:tr>
      <w:tr>
        <w:trPr/>
        <w:tc>
          <w:tcPr>
            <w:tcW w:w="7461" w:type="dxa"/>
            <w:tcBorders/>
            <w:shd w:fill="FFFFFF" w:val="clear"/>
            <w:vAlign w:val="center"/>
          </w:tcPr>
          <w:p>
            <w:pPr>
              <w:pStyle w:val="TableContents"/>
              <w:bidi w:val="0"/>
              <w:spacing w:before="0" w:after="283"/>
              <w:jc w:val="left"/>
              <w:rPr/>
            </w:pPr>
            <w:r>
              <w:rPr/>
              <w:t xml:space="preserve">Stock issuance costs related to the Common Stock </w:t>
              <w:br/>
              <w:t>Purchase Agreements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sz w:val="4"/>
                <w:szCs w:val="4"/>
              </w:rPr>
            </w:pPr>
            <w:r>
              <w:rPr>
                <w:sz w:val="4"/>
                <w:szCs w:val="4"/>
              </w:rPr>
            </w:r>
          </w:p>
        </w:tc>
        <w:tc>
          <w:tcPr>
            <w:tcW w:w="986" w:type="dxa"/>
            <w:tcBorders/>
            <w:shd w:fill="FFFFFF" w:val="clear"/>
            <w:vAlign w:val="center"/>
          </w:tcPr>
          <w:p>
            <w:pPr>
              <w:pStyle w:val="TableContents"/>
              <w:bidi w:val="0"/>
              <w:spacing w:before="0" w:after="283"/>
              <w:jc w:val="right"/>
              <w:rPr/>
            </w:pPr>
            <w:r>
              <w:rPr/>
              <w:t>(404</w:t>
            </w:r>
          </w:p>
        </w:tc>
        <w:tc>
          <w:tcPr>
            <w:tcW w:w="124"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sz w:val="4"/>
                <w:szCs w:val="4"/>
              </w:rPr>
            </w:pPr>
            <w:r>
              <w:rPr>
                <w:sz w:val="4"/>
                <w:szCs w:val="4"/>
              </w:rPr>
            </w:r>
          </w:p>
        </w:tc>
        <w:tc>
          <w:tcPr>
            <w:tcW w:w="986" w:type="dxa"/>
            <w:tcBorders/>
            <w:shd w:fill="FFFFFF" w:val="clear"/>
            <w:vAlign w:val="center"/>
          </w:tcPr>
          <w:p>
            <w:pPr>
              <w:pStyle w:val="TableContents"/>
              <w:bidi w:val="0"/>
              <w:spacing w:before="0" w:after="283"/>
              <w:jc w:val="right"/>
              <w:rPr/>
            </w:pPr>
            <w:r>
              <w:rPr/>
              <w:t>(288</w:t>
            </w:r>
          </w:p>
        </w:tc>
        <w:tc>
          <w:tcPr>
            <w:tcW w:w="146" w:type="dxa"/>
            <w:tcBorders/>
            <w:shd w:fill="FFFFFF" w:val="clear"/>
            <w:vAlign w:val="center"/>
          </w:tcPr>
          <w:p>
            <w:pPr>
              <w:pStyle w:val="TableContents"/>
              <w:bidi w:val="0"/>
              <w:spacing w:before="0" w:after="283"/>
              <w:jc w:val="left"/>
              <w:rPr/>
            </w:pPr>
            <w:r>
              <w:rPr/>
              <w:t>)</w:t>
            </w:r>
          </w:p>
        </w:tc>
      </w:tr>
      <w:tr>
        <w:trPr/>
        <w:tc>
          <w:tcPr>
            <w:tcW w:w="7461" w:type="dxa"/>
            <w:tcBorders/>
            <w:shd w:fill="CCEEFF" w:val="clear"/>
            <w:vAlign w:val="center"/>
          </w:tcPr>
          <w:p>
            <w:pPr>
              <w:pStyle w:val="TableContents"/>
              <w:bidi w:val="0"/>
              <w:spacing w:before="0" w:after="283"/>
              <w:jc w:val="left"/>
              <w:rPr/>
            </w:pPr>
            <w:r>
              <w:rPr/>
              <w:t xml:space="preserve">Taxes paid related to the net share settlement of equity </w:t>
              <w:br/>
              <w:t>awards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before="0" w:after="283"/>
              <w:jc w:val="right"/>
              <w:rPr/>
            </w:pPr>
            <w:r>
              <w:rPr/>
              <w:t>(364</w:t>
            </w:r>
          </w:p>
        </w:tc>
        <w:tc>
          <w:tcPr>
            <w:tcW w:w="124"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before="0" w:after="283"/>
              <w:jc w:val="right"/>
              <w:rPr/>
            </w:pPr>
            <w:r>
              <w:rPr/>
              <w:t>(47</w:t>
            </w:r>
          </w:p>
        </w:tc>
        <w:tc>
          <w:tcPr>
            <w:tcW w:w="146" w:type="dxa"/>
            <w:tcBorders/>
            <w:shd w:fill="CCEEFF" w:val="clear"/>
            <w:vAlign w:val="center"/>
          </w:tcPr>
          <w:p>
            <w:pPr>
              <w:pStyle w:val="TableContents"/>
              <w:bidi w:val="0"/>
              <w:spacing w:before="0" w:after="283"/>
              <w:jc w:val="left"/>
              <w:rPr/>
            </w:pPr>
            <w:r>
              <w:rPr/>
              <w:t>)</w:t>
            </w:r>
          </w:p>
        </w:tc>
      </w:tr>
      <w:tr>
        <w:trPr/>
        <w:tc>
          <w:tcPr>
            <w:tcW w:w="7461" w:type="dxa"/>
            <w:tcBorders/>
            <w:shd w:fill="FFFFFF" w:val="clear"/>
            <w:vAlign w:val="center"/>
          </w:tcPr>
          <w:p>
            <w:pPr>
              <w:pStyle w:val="TableContents"/>
              <w:bidi w:val="0"/>
              <w:spacing w:before="0" w:after="283"/>
              <w:jc w:val="left"/>
              <w:rPr/>
            </w:pPr>
            <w:r>
              <w:rPr/>
              <w:t xml:space="preserve">Proceeds from issuance of common stock through the </w:t>
              <w:br/>
              <w:t>Employee Stock Purchase Plan</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shd w:fill="FFFFFF" w:val="clear"/>
            <w:tcMar>
              <w:bottom w:w="28" w:type="dxa"/>
            </w:tcMar>
            <w:vAlign w:val="center"/>
          </w:tcPr>
          <w:p>
            <w:pPr>
              <w:pStyle w:val="TableContents"/>
              <w:bidi w:val="0"/>
              <w:spacing w:before="0" w:after="283"/>
              <w:jc w:val="right"/>
              <w:rPr/>
            </w:pPr>
            <w:r>
              <w:rPr/>
              <w:t>52</w:t>
            </w:r>
          </w:p>
        </w:tc>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78" w:type="dxa"/>
            <w:tcBorders/>
            <w:shd w:fill="FFFFFF" w:val="clear"/>
            <w:vAlign w:val="center"/>
          </w:tcPr>
          <w:p>
            <w:pPr>
              <w:pStyle w:val="TableContents"/>
              <w:bidi w:val="0"/>
              <w:spacing w:before="0" w:after="283"/>
              <w:jc w:val="left"/>
              <w:rPr>
                <w:sz w:val="4"/>
                <w:szCs w:val="4"/>
              </w:rPr>
            </w:pPr>
            <w:r>
              <w:rPr>
                <w:sz w:val="4"/>
                <w:szCs w:val="4"/>
              </w:rPr>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shd w:fill="FFFFFF" w:val="clear"/>
            <w:tcMar>
              <w:bottom w:w="28" w:type="dxa"/>
            </w:tcMar>
            <w:vAlign w:val="center"/>
          </w:tcPr>
          <w:p>
            <w:pPr>
              <w:pStyle w:val="TableContents"/>
              <w:bidi w:val="0"/>
              <w:spacing w:before="0" w:after="283"/>
              <w:jc w:val="right"/>
              <w:rPr/>
            </w:pPr>
            <w:r>
              <w:rPr/>
              <w:t>26</w:t>
            </w:r>
          </w:p>
        </w:tc>
        <w:tc>
          <w:tcPr>
            <w:tcW w:w="146" w:type="dxa"/>
            <w:tcBorders/>
            <w:shd w:fill="FFFFFF" w:val="clear"/>
            <w:vAlign w:val="center"/>
          </w:tcPr>
          <w:p>
            <w:pPr>
              <w:pStyle w:val="TableContents"/>
              <w:bidi w:val="0"/>
              <w:spacing w:before="0" w:after="283"/>
              <w:jc w:val="left"/>
              <w:rPr>
                <w:sz w:val="4"/>
                <w:szCs w:val="4"/>
              </w:rPr>
            </w:pPr>
            <w:r>
              <w:rPr>
                <w:sz w:val="4"/>
                <w:szCs w:val="4"/>
              </w:rPr>
            </w:r>
          </w:p>
        </w:tc>
      </w:tr>
      <w:tr>
        <w:trPr/>
        <w:tc>
          <w:tcPr>
            <w:tcW w:w="7461" w:type="dxa"/>
            <w:tcBorders/>
            <w:shd w:fill="CCEEFF" w:val="clear"/>
            <w:vAlign w:val="center"/>
          </w:tcPr>
          <w:p>
            <w:pPr>
              <w:pStyle w:val="TableContents"/>
              <w:bidi w:val="0"/>
              <w:spacing w:before="0" w:after="283"/>
              <w:jc w:val="left"/>
              <w:rPr/>
            </w:pPr>
            <w:r>
              <w:rPr/>
              <w:t> </w:t>
            </w:r>
            <w:r>
              <w:rPr/>
              <w:t>Net cash provided by financing activities</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shd w:fill="CCEEFF" w:val="clear"/>
            <w:tcMar>
              <w:bottom w:w="28" w:type="dxa"/>
            </w:tcMar>
            <w:vAlign w:val="center"/>
          </w:tcPr>
          <w:p>
            <w:pPr>
              <w:pStyle w:val="TableContents"/>
              <w:bidi w:val="0"/>
              <w:spacing w:before="0" w:after="283"/>
              <w:jc w:val="right"/>
              <w:rPr/>
            </w:pPr>
            <w:r>
              <w:rPr/>
              <w:t>10,952</w:t>
            </w:r>
          </w:p>
        </w:tc>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shd w:fill="CCEEFF" w:val="clear"/>
            <w:tcMar>
              <w:bottom w:w="28" w:type="dxa"/>
            </w:tcMar>
            <w:vAlign w:val="center"/>
          </w:tcPr>
          <w:p>
            <w:pPr>
              <w:pStyle w:val="TableContents"/>
              <w:bidi w:val="0"/>
              <w:spacing w:before="0" w:after="283"/>
              <w:jc w:val="right"/>
              <w:rPr/>
            </w:pPr>
            <w:r>
              <w:rPr/>
              <w:t>5,531</w:t>
            </w:r>
          </w:p>
        </w:tc>
        <w:tc>
          <w:tcPr>
            <w:tcW w:w="146" w:type="dxa"/>
            <w:tcBorders/>
            <w:shd w:fill="CCEEFF" w:val="clear"/>
            <w:vAlign w:val="center"/>
          </w:tcPr>
          <w:p>
            <w:pPr>
              <w:pStyle w:val="TableContents"/>
              <w:bidi w:val="0"/>
              <w:spacing w:before="0" w:after="283"/>
              <w:jc w:val="left"/>
              <w:rPr>
                <w:sz w:val="4"/>
                <w:szCs w:val="4"/>
              </w:rPr>
            </w:pPr>
            <w:r>
              <w:rPr>
                <w:sz w:val="4"/>
                <w:szCs w:val="4"/>
              </w:rPr>
            </w:r>
          </w:p>
        </w:tc>
      </w:tr>
      <w:tr>
        <w:trPr/>
        <w:tc>
          <w:tcPr>
            <w:tcW w:w="7461" w:type="dxa"/>
            <w:tcBorders/>
            <w:shd w:fill="FFFFFF" w:val="clear"/>
            <w:vAlign w:val="center"/>
          </w:tcPr>
          <w:p>
            <w:pPr>
              <w:pStyle w:val="TableContents"/>
              <w:bidi w:val="0"/>
              <w:spacing w:before="0" w:after="283"/>
              <w:jc w:val="left"/>
              <w:rPr>
                <w:b/>
              </w:rPr>
            </w:pPr>
            <w:r>
              <w:rPr>
                <w:b/>
              </w:rPr>
              <w:t>Net 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sz w:val="4"/>
                <w:szCs w:val="4"/>
              </w:rPr>
            </w:pPr>
            <w:r>
              <w:rPr>
                <w:sz w:val="4"/>
                <w:szCs w:val="4"/>
              </w:rPr>
            </w:r>
          </w:p>
        </w:tc>
        <w:tc>
          <w:tcPr>
            <w:tcW w:w="986" w:type="dxa"/>
            <w:tcBorders/>
            <w:shd w:fill="FFFFFF" w:val="clear"/>
            <w:vAlign w:val="center"/>
          </w:tcPr>
          <w:p>
            <w:pPr>
              <w:pStyle w:val="TableContents"/>
              <w:bidi w:val="0"/>
              <w:spacing w:before="0" w:after="283"/>
              <w:jc w:val="right"/>
              <w:rPr/>
            </w:pPr>
            <w:r>
              <w:rPr/>
              <w:t>(7,892</w:t>
            </w:r>
          </w:p>
        </w:tc>
        <w:tc>
          <w:tcPr>
            <w:tcW w:w="124"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sz w:val="4"/>
                <w:szCs w:val="4"/>
              </w:rPr>
            </w:pPr>
            <w:r>
              <w:rPr>
                <w:sz w:val="4"/>
                <w:szCs w:val="4"/>
              </w:rPr>
            </w:r>
          </w:p>
        </w:tc>
        <w:tc>
          <w:tcPr>
            <w:tcW w:w="986" w:type="dxa"/>
            <w:tcBorders/>
            <w:shd w:fill="FFFFFF" w:val="clear"/>
            <w:vAlign w:val="center"/>
          </w:tcPr>
          <w:p>
            <w:pPr>
              <w:pStyle w:val="TableContents"/>
              <w:bidi w:val="0"/>
              <w:spacing w:before="0" w:after="283"/>
              <w:jc w:val="right"/>
              <w:rPr/>
            </w:pPr>
            <w:r>
              <w:rPr/>
              <w:t>(5,717</w:t>
            </w:r>
          </w:p>
        </w:tc>
        <w:tc>
          <w:tcPr>
            <w:tcW w:w="146" w:type="dxa"/>
            <w:tcBorders/>
            <w:shd w:fill="FFFFFF" w:val="clear"/>
            <w:vAlign w:val="center"/>
          </w:tcPr>
          <w:p>
            <w:pPr>
              <w:pStyle w:val="TableContents"/>
              <w:bidi w:val="0"/>
              <w:spacing w:before="0" w:after="283"/>
              <w:jc w:val="left"/>
              <w:rPr/>
            </w:pPr>
            <w:r>
              <w:rPr/>
              <w:t>)</w:t>
            </w:r>
          </w:p>
        </w:tc>
      </w:tr>
      <w:tr>
        <w:trPr/>
        <w:tc>
          <w:tcPr>
            <w:tcW w:w="7461" w:type="dxa"/>
            <w:tcBorders/>
            <w:shd w:fill="CCEEFF" w:val="clear"/>
            <w:vAlign w:val="center"/>
          </w:tcPr>
          <w:p>
            <w:pPr>
              <w:pStyle w:val="TableContents"/>
              <w:bidi w:val="0"/>
              <w:spacing w:before="0" w:after="283"/>
              <w:jc w:val="left"/>
              <w:rPr/>
            </w:pPr>
            <w:r>
              <w:rPr/>
              <w:t>Cash, cash equivalents and restricted cash at beginning of period</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shd w:fill="CCEEFF" w:val="clear"/>
            <w:tcMar>
              <w:bottom w:w="28" w:type="dxa"/>
            </w:tcMar>
            <w:vAlign w:val="center"/>
          </w:tcPr>
          <w:p>
            <w:pPr>
              <w:pStyle w:val="TableContents"/>
              <w:bidi w:val="0"/>
              <w:spacing w:before="0" w:after="283"/>
              <w:jc w:val="right"/>
              <w:rPr/>
            </w:pPr>
            <w:r>
              <w:rPr/>
              <w:t>10,266</w:t>
            </w:r>
          </w:p>
        </w:tc>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86" w:type="dxa"/>
            <w:tcBorders>
              <w:bottom w:val="single" w:sz="8" w:space="0" w:color="000000"/>
            </w:tcBorders>
            <w:shd w:fill="CCEEFF" w:val="clear"/>
            <w:tcMar>
              <w:bottom w:w="28" w:type="dxa"/>
            </w:tcMar>
            <w:vAlign w:val="center"/>
          </w:tcPr>
          <w:p>
            <w:pPr>
              <w:pStyle w:val="TableContents"/>
              <w:bidi w:val="0"/>
              <w:spacing w:before="0" w:after="283"/>
              <w:jc w:val="right"/>
              <w:rPr/>
            </w:pPr>
            <w:r>
              <w:rPr/>
              <w:t>19,082</w:t>
            </w:r>
          </w:p>
        </w:tc>
        <w:tc>
          <w:tcPr>
            <w:tcW w:w="146" w:type="dxa"/>
            <w:tcBorders/>
            <w:shd w:fill="CCEEFF" w:val="clear"/>
            <w:vAlign w:val="center"/>
          </w:tcPr>
          <w:p>
            <w:pPr>
              <w:pStyle w:val="TableContents"/>
              <w:bidi w:val="0"/>
              <w:spacing w:before="0" w:after="283"/>
              <w:jc w:val="left"/>
              <w:rPr>
                <w:sz w:val="4"/>
                <w:szCs w:val="4"/>
              </w:rPr>
            </w:pPr>
            <w:r>
              <w:rPr>
                <w:sz w:val="4"/>
                <w:szCs w:val="4"/>
              </w:rPr>
            </w:r>
          </w:p>
        </w:tc>
      </w:tr>
      <w:tr>
        <w:trPr/>
        <w:tc>
          <w:tcPr>
            <w:tcW w:w="7461" w:type="dxa"/>
            <w:tcBorders/>
            <w:shd w:fill="FFFFFF" w:val="clear"/>
            <w:vAlign w:val="center"/>
          </w:tcPr>
          <w:p>
            <w:pPr>
              <w:pStyle w:val="TableContents"/>
              <w:bidi w:val="0"/>
              <w:spacing w:before="0" w:after="283"/>
              <w:jc w:val="left"/>
              <w:rPr>
                <w:b/>
              </w:rPr>
            </w:pPr>
            <w:r>
              <w:rPr>
                <w:b/>
              </w:rPr>
              <w:t>Cash, cash equivalents and restricted cash at end of period</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6" w:type="dxa"/>
            <w:tcBorders>
              <w:bottom w:val="double" w:sz="6" w:space="0" w:color="000000"/>
            </w:tcBorders>
            <w:shd w:fill="FFFFFF" w:val="clear"/>
            <w:tcMar>
              <w:bottom w:w="28" w:type="dxa"/>
            </w:tcMar>
            <w:vAlign w:val="center"/>
          </w:tcPr>
          <w:p>
            <w:pPr>
              <w:pStyle w:val="TableContents"/>
              <w:bidi w:val="0"/>
              <w:spacing w:before="0" w:after="283"/>
              <w:jc w:val="right"/>
              <w:rPr/>
            </w:pPr>
            <w:r>
              <w:rPr/>
              <w:t>2,374</w:t>
            </w:r>
          </w:p>
        </w:tc>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78" w:type="dxa"/>
            <w:tcBorders/>
            <w:shd w:fill="FFFFFF" w:val="clear"/>
            <w:vAlign w:val="center"/>
          </w:tcPr>
          <w:p>
            <w:pPr>
              <w:pStyle w:val="TableContents"/>
              <w:bidi w:val="0"/>
              <w:spacing w:before="0" w:after="283"/>
              <w:jc w:val="left"/>
              <w:rPr>
                <w:sz w:val="4"/>
                <w:szCs w:val="4"/>
              </w:rPr>
            </w:pPr>
            <w:r>
              <w:rPr>
                <w:sz w:val="4"/>
                <w:szCs w:val="4"/>
              </w:rPr>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6" w:type="dxa"/>
            <w:tcBorders>
              <w:bottom w:val="double" w:sz="6" w:space="0" w:color="000000"/>
            </w:tcBorders>
            <w:shd w:fill="FFFFFF" w:val="clear"/>
            <w:tcMar>
              <w:bottom w:w="28" w:type="dxa"/>
            </w:tcMar>
            <w:vAlign w:val="center"/>
          </w:tcPr>
          <w:p>
            <w:pPr>
              <w:pStyle w:val="TableContents"/>
              <w:bidi w:val="0"/>
              <w:spacing w:before="0" w:after="283"/>
              <w:jc w:val="right"/>
              <w:rPr/>
            </w:pPr>
            <w:r>
              <w:rPr/>
              <w:t>13,365</w:t>
            </w:r>
          </w:p>
        </w:tc>
        <w:tc>
          <w:tcPr>
            <w:tcW w:w="146" w:type="dxa"/>
            <w:tcBorders/>
            <w:shd w:fill="FFFFFF" w:val="clear"/>
            <w:vAlign w:val="center"/>
          </w:tcPr>
          <w:p>
            <w:pPr>
              <w:pStyle w:val="TableContents"/>
              <w:bidi w:val="0"/>
              <w:spacing w:before="0" w:after="283"/>
              <w:jc w:val="left"/>
              <w:rPr>
                <w:sz w:val="4"/>
                <w:szCs w:val="4"/>
              </w:rPr>
            </w:pPr>
            <w:r>
              <w:rPr>
                <w:sz w:val="4"/>
                <w:szCs w:val="4"/>
              </w:rPr>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6020" w:type="dxa"/>
        <w:jc w:val="left"/>
        <w:tblInd w:w="0" w:type="dxa"/>
        <w:tblLayout w:type="fixed"/>
        <w:tblCellMar>
          <w:top w:w="0" w:type="dxa"/>
          <w:left w:w="0" w:type="dxa"/>
          <w:bottom w:w="0" w:type="dxa"/>
          <w:right w:w="0" w:type="dxa"/>
        </w:tblCellMar>
      </w:tblPr>
      <w:tblGrid>
        <w:gridCol w:w="6020"/>
      </w:tblGrid>
      <w:tr>
        <w:trPr/>
        <w:tc>
          <w:tcPr>
            <w:tcW w:w="6020" w:type="dxa"/>
            <w:tcBorders/>
            <w:vAlign w:val="center"/>
          </w:tcPr>
          <w:p>
            <w:pPr>
              <w:pStyle w:val="TableContents"/>
              <w:bidi w:val="0"/>
              <w:spacing w:before="0" w:after="283"/>
              <w:jc w:val="left"/>
              <w:rPr>
                <w:b/>
              </w:rPr>
            </w:pPr>
            <w:r>
              <w:rPr>
                <w:b/>
              </w:rPr>
              <w:t xml:space="preserve">AEYE, INC. </w:t>
              <w:br/>
              <w:t>Reconciliation of GAAP to Non-GAAP Financial Measures</w:t>
              <w:br/>
              <w:t>(In thousands, except share amounts and per share data)</w:t>
              <w:br/>
              <w:t>(Unaudited)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595"/>
        <w:gridCol w:w="60"/>
        <w:gridCol w:w="150"/>
        <w:gridCol w:w="1186"/>
        <w:gridCol w:w="102"/>
        <w:gridCol w:w="64"/>
        <w:gridCol w:w="150"/>
        <w:gridCol w:w="1057"/>
        <w:gridCol w:w="105"/>
        <w:gridCol w:w="60"/>
        <w:gridCol w:w="142"/>
        <w:gridCol w:w="1120"/>
        <w:gridCol w:w="96"/>
        <w:gridCol w:w="60"/>
        <w:gridCol w:w="142"/>
        <w:gridCol w:w="998"/>
        <w:gridCol w:w="118"/>
      </w:tblGrid>
      <w:tr>
        <w:trPr/>
        <w:tc>
          <w:tcPr>
            <w:tcW w:w="4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14" w:type="dxa"/>
            <w:gridSpan w:val="7"/>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60" w:type="dxa"/>
            <w:tcBorders/>
            <w:vAlign w:val="center"/>
          </w:tcPr>
          <w:p>
            <w:pPr>
              <w:pStyle w:val="TableContents"/>
              <w:bidi w:val="0"/>
              <w:spacing w:before="0" w:after="283"/>
              <w:jc w:val="left"/>
              <w:rPr>
                <w:sz w:val="4"/>
                <w:szCs w:val="4"/>
              </w:rPr>
            </w:pPr>
            <w:r>
              <w:rPr>
                <w:sz w:val="4"/>
                <w:szCs w:val="4"/>
              </w:rPr>
            </w:r>
          </w:p>
        </w:tc>
        <w:tc>
          <w:tcPr>
            <w:tcW w:w="2676" w:type="dxa"/>
            <w:gridSpan w:val="7"/>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r>
      <w:tr>
        <w:trPr/>
        <w:tc>
          <w:tcPr>
            <w:tcW w:w="45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38"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4" w:type="dxa"/>
            <w:tcBorders/>
            <w:vAlign w:val="center"/>
          </w:tcPr>
          <w:p>
            <w:pPr>
              <w:pStyle w:val="TableContents"/>
              <w:bidi w:val="0"/>
              <w:spacing w:before="0" w:after="283"/>
              <w:jc w:val="left"/>
              <w:rPr>
                <w:sz w:val="4"/>
                <w:szCs w:val="4"/>
              </w:rPr>
            </w:pPr>
            <w:r>
              <w:rPr>
                <w:sz w:val="4"/>
                <w:szCs w:val="4"/>
              </w:rPr>
            </w:r>
          </w:p>
        </w:tc>
        <w:tc>
          <w:tcPr>
            <w:tcW w:w="1312"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sz w:val="4"/>
                <w:szCs w:val="4"/>
              </w:rPr>
            </w:pPr>
            <w:r>
              <w:rPr>
                <w:sz w:val="4"/>
                <w:szCs w:val="4"/>
              </w:rPr>
            </w:r>
          </w:p>
        </w:tc>
        <w:tc>
          <w:tcPr>
            <w:tcW w:w="1358"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sz w:val="4"/>
                <w:szCs w:val="4"/>
              </w:rPr>
            </w:pPr>
            <w:r>
              <w:rPr>
                <w:sz w:val="4"/>
                <w:szCs w:val="4"/>
              </w:rPr>
            </w:r>
          </w:p>
        </w:tc>
        <w:tc>
          <w:tcPr>
            <w:tcW w:w="1258"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r>
      <w:tr>
        <w:trPr/>
        <w:tc>
          <w:tcPr>
            <w:tcW w:w="4595" w:type="dxa"/>
            <w:tcBorders/>
            <w:shd w:fill="CCEEFF" w:val="clear"/>
            <w:vAlign w:val="center"/>
          </w:tcPr>
          <w:p>
            <w:pPr>
              <w:pStyle w:val="TableContents"/>
              <w:bidi w:val="0"/>
              <w:spacing w:before="0" w:after="283"/>
              <w:jc w:val="left"/>
              <w:rPr>
                <w:b/>
              </w:rPr>
            </w:pPr>
            <w:r>
              <w:rPr>
                <w:b/>
              </w:rPr>
              <w:t>GAAP net loss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186" w:type="dxa"/>
            <w:tcBorders/>
            <w:shd w:fill="CCEEFF" w:val="clear"/>
            <w:vAlign w:val="center"/>
          </w:tcPr>
          <w:p>
            <w:pPr>
              <w:pStyle w:val="TableContents"/>
              <w:bidi w:val="0"/>
              <w:spacing w:before="0" w:after="283"/>
              <w:jc w:val="right"/>
              <w:rPr/>
            </w:pPr>
            <w:r>
              <w:rPr/>
              <w:t>(9,270</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057" w:type="dxa"/>
            <w:tcBorders/>
            <w:shd w:fill="CCEEFF" w:val="clear"/>
            <w:vAlign w:val="center"/>
          </w:tcPr>
          <w:p>
            <w:pPr>
              <w:pStyle w:val="TableContents"/>
              <w:bidi w:val="0"/>
              <w:spacing w:before="0" w:after="283"/>
              <w:jc w:val="right"/>
              <w:rPr/>
            </w:pPr>
            <w:r>
              <w:rPr/>
              <w:t>(7,987</w:t>
            </w:r>
          </w:p>
        </w:tc>
        <w:tc>
          <w:tcPr>
            <w:tcW w:w="10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1120" w:type="dxa"/>
            <w:tcBorders/>
            <w:shd w:fill="CCEEFF" w:val="clear"/>
            <w:vAlign w:val="center"/>
          </w:tcPr>
          <w:p>
            <w:pPr>
              <w:pStyle w:val="TableContents"/>
              <w:bidi w:val="0"/>
              <w:spacing w:before="0" w:after="283"/>
              <w:jc w:val="right"/>
              <w:rPr/>
            </w:pPr>
            <w:r>
              <w:rPr/>
              <w:t>(17,286</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998" w:type="dxa"/>
            <w:tcBorders/>
            <w:shd w:fill="CCEEFF" w:val="clear"/>
            <w:vAlign w:val="center"/>
          </w:tcPr>
          <w:p>
            <w:pPr>
              <w:pStyle w:val="TableContents"/>
              <w:bidi w:val="0"/>
              <w:spacing w:before="0" w:after="283"/>
              <w:jc w:val="right"/>
              <w:rPr/>
            </w:pPr>
            <w:r>
              <w:rPr/>
              <w:t>(18,206</w:t>
            </w:r>
          </w:p>
        </w:tc>
        <w:tc>
          <w:tcPr>
            <w:tcW w:w="118" w:type="dxa"/>
            <w:tcBorders/>
            <w:shd w:fill="CCEEFF" w:val="clear"/>
            <w:vAlign w:val="center"/>
          </w:tcPr>
          <w:p>
            <w:pPr>
              <w:pStyle w:val="TableContents"/>
              <w:bidi w:val="0"/>
              <w:spacing w:before="0" w:after="283"/>
              <w:jc w:val="left"/>
              <w:rPr/>
            </w:pPr>
            <w:r>
              <w:rPr/>
              <w:t>)</w:t>
            </w:r>
          </w:p>
        </w:tc>
      </w:tr>
      <w:tr>
        <w:trPr/>
        <w:tc>
          <w:tcPr>
            <w:tcW w:w="4595" w:type="dxa"/>
            <w:tcBorders/>
            <w:shd w:fill="FFFFFF" w:val="clear"/>
            <w:vAlign w:val="center"/>
          </w:tcPr>
          <w:p>
            <w:pPr>
              <w:pStyle w:val="TableContents"/>
              <w:bidi w:val="0"/>
              <w:spacing w:before="0" w:after="283"/>
              <w:jc w:val="left"/>
              <w:rPr/>
            </w:pPr>
            <w:r>
              <w:rPr/>
              <w:t>Non-GAAP adjustments: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sz w:val="4"/>
                <w:szCs w:val="4"/>
              </w:rPr>
            </w:pPr>
            <w:r>
              <w:rPr>
                <w:sz w:val="4"/>
                <w:szCs w:val="4"/>
              </w:rPr>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sz w:val="4"/>
                <w:szCs w:val="4"/>
              </w:rPr>
            </w:pPr>
            <w:r>
              <w:rPr>
                <w:sz w:val="4"/>
                <w:szCs w:val="4"/>
              </w:rPr>
            </w:r>
          </w:p>
        </w:tc>
        <w:tc>
          <w:tcPr>
            <w:tcW w:w="1057"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sz w:val="4"/>
                <w:szCs w:val="4"/>
              </w:rPr>
            </w:pPr>
            <w:r>
              <w:rPr>
                <w:sz w:val="4"/>
                <w:szCs w:val="4"/>
              </w:rPr>
            </w:r>
          </w:p>
        </w:tc>
        <w:tc>
          <w:tcPr>
            <w:tcW w:w="1120"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sz w:val="4"/>
                <w:szCs w:val="4"/>
              </w:rPr>
            </w:pPr>
            <w:r>
              <w:rPr>
                <w:sz w:val="4"/>
                <w:szCs w:val="4"/>
              </w:rPr>
            </w:r>
          </w:p>
        </w:tc>
        <w:tc>
          <w:tcPr>
            <w:tcW w:w="998"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sz w:val="4"/>
                <w:szCs w:val="4"/>
              </w:rPr>
            </w:pPr>
            <w:r>
              <w:rPr>
                <w:sz w:val="4"/>
                <w:szCs w:val="4"/>
              </w:rPr>
            </w:r>
          </w:p>
        </w:tc>
      </w:tr>
      <w:tr>
        <w:trPr/>
        <w:tc>
          <w:tcPr>
            <w:tcW w:w="4595"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before="0" w:after="283"/>
              <w:jc w:val="right"/>
              <w:rPr/>
            </w:pPr>
            <w:r>
              <w:rPr/>
              <w:t>1,160</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1057" w:type="dxa"/>
            <w:tcBorders/>
            <w:shd w:fill="CCEEFF" w:val="clear"/>
            <w:vAlign w:val="center"/>
          </w:tcPr>
          <w:p>
            <w:pPr>
              <w:pStyle w:val="TableContents"/>
              <w:bidi w:val="0"/>
              <w:spacing w:before="0" w:after="283"/>
              <w:jc w:val="right"/>
              <w:rPr/>
            </w:pPr>
            <w:r>
              <w:rPr/>
              <w:t>1,740</w:t>
            </w:r>
          </w:p>
        </w:tc>
        <w:tc>
          <w:tcPr>
            <w:tcW w:w="1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1120" w:type="dxa"/>
            <w:tcBorders/>
            <w:shd w:fill="CCEEFF" w:val="clear"/>
            <w:vAlign w:val="center"/>
          </w:tcPr>
          <w:p>
            <w:pPr>
              <w:pStyle w:val="TableContents"/>
              <w:bidi w:val="0"/>
              <w:spacing w:before="0" w:after="283"/>
              <w:jc w:val="right"/>
              <w:rPr/>
            </w:pPr>
            <w:r>
              <w:rPr/>
              <w:t>3,661</w:t>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before="0" w:after="283"/>
              <w:jc w:val="right"/>
              <w:rPr/>
            </w:pPr>
            <w:r>
              <w:rPr/>
              <w:t>4,754</w:t>
            </w:r>
          </w:p>
        </w:tc>
        <w:tc>
          <w:tcPr>
            <w:tcW w:w="118" w:type="dxa"/>
            <w:tcBorders/>
            <w:shd w:fill="CCEEFF" w:val="clear"/>
            <w:vAlign w:val="center"/>
          </w:tcPr>
          <w:p>
            <w:pPr>
              <w:pStyle w:val="TableContents"/>
              <w:bidi w:val="0"/>
              <w:spacing w:before="0" w:after="283"/>
              <w:jc w:val="left"/>
              <w:rPr>
                <w:sz w:val="4"/>
                <w:szCs w:val="4"/>
              </w:rPr>
            </w:pPr>
            <w:r>
              <w:rPr>
                <w:sz w:val="4"/>
                <w:szCs w:val="4"/>
              </w:rPr>
            </w:r>
          </w:p>
        </w:tc>
      </w:tr>
      <w:tr>
        <w:trPr/>
        <w:tc>
          <w:tcPr>
            <w:tcW w:w="4595" w:type="dxa"/>
            <w:tcBorders/>
            <w:shd w:fill="FFFFFF" w:val="clear"/>
            <w:vAlign w:val="center"/>
          </w:tcPr>
          <w:p>
            <w:pPr>
              <w:pStyle w:val="TableContents"/>
              <w:bidi w:val="0"/>
              <w:spacing w:before="0" w:after="283"/>
              <w:jc w:val="left"/>
              <w:rPr/>
            </w:pPr>
            <w:r>
              <w:rPr/>
              <w:t>Stock issuance and debt issuance costs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right"/>
              <w:rPr/>
            </w:pPr>
            <w:r>
              <w:rPr/>
              <w:t>231</w:t>
            </w:r>
          </w:p>
        </w:tc>
        <w:tc>
          <w:tcPr>
            <w:tcW w:w="102" w:type="dxa"/>
            <w:tcBorders/>
            <w:shd w:fill="FFFFFF" w:val="clear"/>
            <w:vAlign w:val="center"/>
          </w:tcPr>
          <w:p>
            <w:pPr>
              <w:pStyle w:val="TableContents"/>
              <w:bidi w:val="0"/>
              <w:spacing w:before="0" w:after="283"/>
              <w:jc w:val="left"/>
              <w:rPr>
                <w:sz w:val="4"/>
                <w:szCs w:val="4"/>
              </w:rPr>
            </w:pPr>
            <w:r>
              <w:rPr>
                <w:sz w:val="4"/>
                <w:szCs w:val="4"/>
              </w:rPr>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sz w:val="4"/>
                <w:szCs w:val="4"/>
              </w:rPr>
            </w:pPr>
            <w:r>
              <w:rPr>
                <w:sz w:val="4"/>
                <w:szCs w:val="4"/>
              </w:rPr>
            </w:r>
          </w:p>
        </w:tc>
        <w:tc>
          <w:tcPr>
            <w:tcW w:w="1057"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sz w:val="4"/>
                <w:szCs w:val="4"/>
              </w:rPr>
            </w:pPr>
            <w:r>
              <w:rPr>
                <w:sz w:val="4"/>
                <w:szCs w:val="4"/>
              </w:rPr>
            </w:r>
          </w:p>
        </w:tc>
        <w:tc>
          <w:tcPr>
            <w:tcW w:w="1120" w:type="dxa"/>
            <w:tcBorders/>
            <w:shd w:fill="FFFFFF" w:val="clear"/>
            <w:vAlign w:val="center"/>
          </w:tcPr>
          <w:p>
            <w:pPr>
              <w:pStyle w:val="TableContents"/>
              <w:bidi w:val="0"/>
              <w:spacing w:before="0" w:after="283"/>
              <w:jc w:val="right"/>
              <w:rPr/>
            </w:pPr>
            <w:r>
              <w:rPr/>
              <w:t>2,326</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sz w:val="4"/>
                <w:szCs w:val="4"/>
              </w:rPr>
            </w:pPr>
            <w:r>
              <w:rPr>
                <w:sz w:val="4"/>
                <w:szCs w:val="4"/>
              </w:rPr>
            </w:r>
          </w:p>
        </w:tc>
        <w:tc>
          <w:tcPr>
            <w:tcW w:w="998"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sz w:val="4"/>
                <w:szCs w:val="4"/>
              </w:rPr>
            </w:pPr>
            <w:r>
              <w:rPr>
                <w:sz w:val="4"/>
                <w:szCs w:val="4"/>
              </w:rPr>
            </w:r>
          </w:p>
        </w:tc>
      </w:tr>
      <w:tr>
        <w:trPr/>
        <w:tc>
          <w:tcPr>
            <w:tcW w:w="4595" w:type="dxa"/>
            <w:tcBorders/>
            <w:shd w:fill="CCEEFF" w:val="clear"/>
            <w:vAlign w:val="center"/>
          </w:tcPr>
          <w:p>
            <w:pPr>
              <w:pStyle w:val="TableContents"/>
              <w:bidi w:val="0"/>
              <w:spacing w:before="0" w:after="283"/>
              <w:jc w:val="left"/>
              <w:rPr/>
            </w:pPr>
            <w:r>
              <w:rPr/>
              <w:t>Change in fair value of convertible note and warrant liabilities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before="0" w:after="283"/>
              <w:jc w:val="right"/>
              <w:rPr/>
            </w:pPr>
            <w:r>
              <w:rPr/>
              <w:t>593</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1057" w:type="dxa"/>
            <w:tcBorders/>
            <w:shd w:fill="CCEEFF" w:val="clear"/>
            <w:vAlign w:val="center"/>
          </w:tcPr>
          <w:p>
            <w:pPr>
              <w:pStyle w:val="TableContents"/>
              <w:bidi w:val="0"/>
              <w:spacing w:before="0" w:after="283"/>
              <w:jc w:val="right"/>
              <w:rPr/>
            </w:pPr>
            <w:r>
              <w:rPr/>
              <w:t>15</w:t>
            </w:r>
          </w:p>
        </w:tc>
        <w:tc>
          <w:tcPr>
            <w:tcW w:w="1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1120" w:type="dxa"/>
            <w:tcBorders/>
            <w:shd w:fill="CCEEFF" w:val="clear"/>
            <w:vAlign w:val="center"/>
          </w:tcPr>
          <w:p>
            <w:pPr>
              <w:pStyle w:val="TableContents"/>
              <w:bidi w:val="0"/>
              <w:spacing w:before="0" w:after="283"/>
              <w:jc w:val="right"/>
              <w:rPr/>
            </w:pPr>
            <w:r>
              <w:rPr/>
              <w:t>(87</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before="0" w:after="283"/>
              <w:jc w:val="right"/>
              <w:rPr/>
            </w:pPr>
            <w:r>
              <w:rPr/>
              <w:t>13</w:t>
            </w:r>
          </w:p>
        </w:tc>
        <w:tc>
          <w:tcPr>
            <w:tcW w:w="118" w:type="dxa"/>
            <w:tcBorders/>
            <w:shd w:fill="CCEEFF" w:val="clear"/>
            <w:vAlign w:val="center"/>
          </w:tcPr>
          <w:p>
            <w:pPr>
              <w:pStyle w:val="TableContents"/>
              <w:bidi w:val="0"/>
              <w:spacing w:before="0" w:after="283"/>
              <w:jc w:val="left"/>
              <w:rPr>
                <w:sz w:val="4"/>
                <w:szCs w:val="4"/>
              </w:rPr>
            </w:pPr>
            <w:r>
              <w:rPr>
                <w:sz w:val="4"/>
                <w:szCs w:val="4"/>
              </w:rPr>
            </w:r>
          </w:p>
        </w:tc>
      </w:tr>
      <w:tr>
        <w:trPr/>
        <w:tc>
          <w:tcPr>
            <w:tcW w:w="4595" w:type="dxa"/>
            <w:tcBorders/>
            <w:shd w:fill="FFFFFF" w:val="clear"/>
            <w:vAlign w:val="center"/>
          </w:tcPr>
          <w:p>
            <w:pPr>
              <w:pStyle w:val="TableContents"/>
              <w:bidi w:val="0"/>
              <w:spacing w:before="0" w:after="283"/>
              <w:jc w:val="left"/>
              <w:rPr/>
            </w:pPr>
            <w:r>
              <w:rPr/>
              <w:t>Expenses related to contested proxy</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right"/>
              <w:rPr/>
            </w:pPr>
            <w:r>
              <w:rPr/>
              <w:t>543</w:t>
            </w:r>
          </w:p>
        </w:tc>
        <w:tc>
          <w:tcPr>
            <w:tcW w:w="102" w:type="dxa"/>
            <w:tcBorders/>
            <w:shd w:fill="FFFFFF" w:val="clear"/>
            <w:vAlign w:val="center"/>
          </w:tcPr>
          <w:p>
            <w:pPr>
              <w:pStyle w:val="TableContents"/>
              <w:bidi w:val="0"/>
              <w:spacing w:before="0" w:after="283"/>
              <w:jc w:val="left"/>
              <w:rPr>
                <w:sz w:val="4"/>
                <w:szCs w:val="4"/>
              </w:rPr>
            </w:pPr>
            <w:r>
              <w:rPr>
                <w:sz w:val="4"/>
                <w:szCs w:val="4"/>
              </w:rPr>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sz w:val="4"/>
                <w:szCs w:val="4"/>
              </w:rPr>
            </w:pPr>
            <w:r>
              <w:rPr>
                <w:sz w:val="4"/>
                <w:szCs w:val="4"/>
              </w:rPr>
            </w:r>
          </w:p>
        </w:tc>
        <w:tc>
          <w:tcPr>
            <w:tcW w:w="1057"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sz w:val="4"/>
                <w:szCs w:val="4"/>
              </w:rPr>
            </w:pPr>
            <w:r>
              <w:rPr>
                <w:sz w:val="4"/>
                <w:szCs w:val="4"/>
              </w:rPr>
            </w:r>
          </w:p>
        </w:tc>
        <w:tc>
          <w:tcPr>
            <w:tcW w:w="1120" w:type="dxa"/>
            <w:tcBorders/>
            <w:shd w:fill="FFFFFF" w:val="clear"/>
            <w:vAlign w:val="center"/>
          </w:tcPr>
          <w:p>
            <w:pPr>
              <w:pStyle w:val="TableContents"/>
              <w:bidi w:val="0"/>
              <w:spacing w:before="0" w:after="283"/>
              <w:jc w:val="right"/>
              <w:rPr/>
            </w:pPr>
            <w:r>
              <w:rPr/>
              <w:t>839</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sz w:val="4"/>
                <w:szCs w:val="4"/>
              </w:rPr>
            </w:pPr>
            <w:r>
              <w:rPr>
                <w:sz w:val="4"/>
                <w:szCs w:val="4"/>
              </w:rPr>
            </w:r>
          </w:p>
        </w:tc>
        <w:tc>
          <w:tcPr>
            <w:tcW w:w="998"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sz w:val="4"/>
                <w:szCs w:val="4"/>
              </w:rPr>
            </w:pPr>
            <w:r>
              <w:rPr>
                <w:sz w:val="4"/>
                <w:szCs w:val="4"/>
              </w:rPr>
            </w:r>
          </w:p>
        </w:tc>
      </w:tr>
      <w:tr>
        <w:trPr/>
        <w:tc>
          <w:tcPr>
            <w:tcW w:w="4595" w:type="dxa"/>
            <w:tcBorders/>
            <w:shd w:fill="CCEEFF" w:val="clear"/>
            <w:vAlign w:val="center"/>
          </w:tcPr>
          <w:p>
            <w:pPr>
              <w:pStyle w:val="TableContents"/>
              <w:bidi w:val="0"/>
              <w:spacing w:before="0" w:after="283"/>
              <w:jc w:val="left"/>
              <w:rPr/>
            </w:pPr>
            <w:r>
              <w:rPr/>
              <w:t>Loss (gain) on termination of operating lease, net</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CCEEFF" w:val="clear"/>
            <w:tcMar>
              <w:bottom w:w="28" w:type="dxa"/>
            </w:tcMar>
            <w:vAlign w:val="center"/>
          </w:tcPr>
          <w:p>
            <w:pPr>
              <w:pStyle w:val="TableContents"/>
              <w:bidi w:val="0"/>
              <w:spacing w:before="0" w:after="283"/>
              <w:jc w:val="right"/>
              <w:rPr/>
            </w:pPr>
            <w:r>
              <w:rPr/>
              <w:t>73</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64" w:type="dxa"/>
            <w:tcBorders/>
            <w:shd w:fill="CCEEFF" w:val="clear"/>
            <w:vAlign w:val="center"/>
          </w:tcPr>
          <w:p>
            <w:pPr>
              <w:pStyle w:val="TableContents"/>
              <w:bidi w:val="0"/>
              <w:spacing w:before="0" w:after="283"/>
              <w:jc w:val="left"/>
              <w:rPr>
                <w:sz w:val="4"/>
                <w:szCs w:val="4"/>
              </w:rPr>
            </w:pPr>
            <w:r>
              <w:rPr>
                <w:sz w:val="4"/>
                <w:szCs w:val="4"/>
              </w:rPr>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57"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20" w:type="dxa"/>
            <w:tcBorders>
              <w:bottom w:val="single" w:sz="8" w:space="0" w:color="000000"/>
            </w:tcBorders>
            <w:shd w:fill="CCEEFF" w:val="clear"/>
            <w:tcMar>
              <w:bottom w:w="28" w:type="dxa"/>
            </w:tcMar>
            <w:vAlign w:val="center"/>
          </w:tcPr>
          <w:p>
            <w:pPr>
              <w:pStyle w:val="TableContents"/>
              <w:bidi w:val="0"/>
              <w:spacing w:before="0" w:after="283"/>
              <w:jc w:val="right"/>
              <w:rPr/>
            </w:pPr>
            <w:r>
              <w:rPr/>
              <w:t>(1,612</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9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sz w:val="4"/>
                <w:szCs w:val="4"/>
              </w:rPr>
            </w:pPr>
            <w:r>
              <w:rPr>
                <w:sz w:val="4"/>
                <w:szCs w:val="4"/>
              </w:rPr>
            </w:r>
          </w:p>
        </w:tc>
      </w:tr>
      <w:tr>
        <w:trPr/>
        <w:tc>
          <w:tcPr>
            <w:tcW w:w="4595" w:type="dxa"/>
            <w:tcBorders/>
            <w:shd w:fill="FFFFFF" w:val="clear"/>
            <w:vAlign w:val="center"/>
          </w:tcPr>
          <w:p>
            <w:pPr>
              <w:pStyle w:val="TableContents"/>
              <w:bidi w:val="0"/>
              <w:spacing w:before="0" w:after="283"/>
              <w:jc w:val="left"/>
              <w:rPr/>
            </w:pPr>
            <w:r>
              <w:rPr/>
              <w:t>Non-GAAP net loss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right"/>
              <w:rPr/>
            </w:pPr>
            <w:r>
              <w:rPr/>
              <w:t>(6,670</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sz w:val="4"/>
                <w:szCs w:val="4"/>
              </w:rPr>
            </w:pPr>
            <w:r>
              <w:rPr>
                <w:sz w:val="4"/>
                <w:szCs w:val="4"/>
              </w:rPr>
            </w:r>
          </w:p>
        </w:tc>
        <w:tc>
          <w:tcPr>
            <w:tcW w:w="1057" w:type="dxa"/>
            <w:tcBorders/>
            <w:shd w:fill="FFFFFF" w:val="clear"/>
            <w:vAlign w:val="center"/>
          </w:tcPr>
          <w:p>
            <w:pPr>
              <w:pStyle w:val="TableContents"/>
              <w:bidi w:val="0"/>
              <w:spacing w:before="0" w:after="283"/>
              <w:jc w:val="right"/>
              <w:rPr/>
            </w:pPr>
            <w:r>
              <w:rPr/>
              <w:t>(6,232</w:t>
            </w:r>
          </w:p>
        </w:tc>
        <w:tc>
          <w:tcPr>
            <w:tcW w:w="10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sz w:val="4"/>
                <w:szCs w:val="4"/>
              </w:rPr>
            </w:pPr>
            <w:r>
              <w:rPr>
                <w:sz w:val="4"/>
                <w:szCs w:val="4"/>
              </w:rPr>
            </w:r>
          </w:p>
        </w:tc>
        <w:tc>
          <w:tcPr>
            <w:tcW w:w="1120" w:type="dxa"/>
            <w:tcBorders/>
            <w:shd w:fill="FFFFFF" w:val="clear"/>
            <w:vAlign w:val="center"/>
          </w:tcPr>
          <w:p>
            <w:pPr>
              <w:pStyle w:val="TableContents"/>
              <w:bidi w:val="0"/>
              <w:spacing w:before="0" w:after="283"/>
              <w:jc w:val="right"/>
              <w:rPr/>
            </w:pPr>
            <w:r>
              <w:rPr/>
              <w:t>(12,159</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sz w:val="4"/>
                <w:szCs w:val="4"/>
              </w:rPr>
            </w:pPr>
            <w:r>
              <w:rPr>
                <w:sz w:val="4"/>
                <w:szCs w:val="4"/>
              </w:rPr>
            </w:r>
          </w:p>
        </w:tc>
        <w:tc>
          <w:tcPr>
            <w:tcW w:w="998" w:type="dxa"/>
            <w:tcBorders/>
            <w:shd w:fill="FFFFFF" w:val="clear"/>
            <w:vAlign w:val="center"/>
          </w:tcPr>
          <w:p>
            <w:pPr>
              <w:pStyle w:val="TableContents"/>
              <w:bidi w:val="0"/>
              <w:spacing w:before="0" w:after="283"/>
              <w:jc w:val="right"/>
              <w:rPr/>
            </w:pPr>
            <w:r>
              <w:rPr/>
              <w:t>(13,439</w:t>
            </w:r>
          </w:p>
        </w:tc>
        <w:tc>
          <w:tcPr>
            <w:tcW w:w="118" w:type="dxa"/>
            <w:tcBorders/>
            <w:shd w:fill="FFFFFF" w:val="clear"/>
            <w:vAlign w:val="center"/>
          </w:tcPr>
          <w:p>
            <w:pPr>
              <w:pStyle w:val="TableContents"/>
              <w:bidi w:val="0"/>
              <w:spacing w:before="0" w:after="283"/>
              <w:jc w:val="left"/>
              <w:rPr/>
            </w:pPr>
            <w:r>
              <w:rPr/>
              <w:t>)</w:t>
            </w:r>
          </w:p>
        </w:tc>
      </w:tr>
      <w:tr>
        <w:trPr/>
        <w:tc>
          <w:tcPr>
            <w:tcW w:w="4595" w:type="dxa"/>
            <w:tcBorders/>
            <w:shd w:fill="CCEEFF" w:val="clear"/>
            <w:vAlign w:val="center"/>
          </w:tcPr>
          <w:p>
            <w:pPr>
              <w:pStyle w:val="TableContents"/>
              <w:bidi w:val="0"/>
              <w:spacing w:before="0" w:after="283"/>
              <w:jc w:val="left"/>
              <w:rPr/>
            </w:pPr>
            <w:r>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before="0" w:after="283"/>
              <w:jc w:val="right"/>
              <w:rPr/>
            </w:pPr>
            <w:r>
              <w:rPr/>
              <w:t>38</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1057" w:type="dxa"/>
            <w:tcBorders/>
            <w:shd w:fill="CCEEFF" w:val="clear"/>
            <w:vAlign w:val="center"/>
          </w:tcPr>
          <w:p>
            <w:pPr>
              <w:pStyle w:val="TableContents"/>
              <w:bidi w:val="0"/>
              <w:spacing w:before="0" w:after="283"/>
              <w:jc w:val="right"/>
              <w:rPr/>
            </w:pPr>
            <w:r>
              <w:rPr/>
              <w:t>27</w:t>
            </w:r>
          </w:p>
        </w:tc>
        <w:tc>
          <w:tcPr>
            <w:tcW w:w="1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1120" w:type="dxa"/>
            <w:tcBorders/>
            <w:shd w:fill="CCEEFF" w:val="clear"/>
            <w:vAlign w:val="center"/>
          </w:tcPr>
          <w:p>
            <w:pPr>
              <w:pStyle w:val="TableContents"/>
              <w:bidi w:val="0"/>
              <w:spacing w:before="0" w:after="283"/>
              <w:jc w:val="right"/>
              <w:rPr/>
            </w:pPr>
            <w:r>
              <w:rPr/>
              <w:t>75</w:t>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before="0" w:after="283"/>
              <w:jc w:val="right"/>
              <w:rPr/>
            </w:pPr>
            <w:r>
              <w:rPr/>
              <w:t>56</w:t>
            </w:r>
          </w:p>
        </w:tc>
        <w:tc>
          <w:tcPr>
            <w:tcW w:w="118" w:type="dxa"/>
            <w:tcBorders/>
            <w:shd w:fill="CCEEFF" w:val="clear"/>
            <w:vAlign w:val="center"/>
          </w:tcPr>
          <w:p>
            <w:pPr>
              <w:pStyle w:val="TableContents"/>
              <w:bidi w:val="0"/>
              <w:spacing w:before="0" w:after="283"/>
              <w:jc w:val="left"/>
              <w:rPr>
                <w:sz w:val="4"/>
                <w:szCs w:val="4"/>
              </w:rPr>
            </w:pPr>
            <w:r>
              <w:rPr>
                <w:sz w:val="4"/>
                <w:szCs w:val="4"/>
              </w:rPr>
            </w:r>
          </w:p>
        </w:tc>
      </w:tr>
      <w:tr>
        <w:trPr/>
        <w:tc>
          <w:tcPr>
            <w:tcW w:w="4595" w:type="dxa"/>
            <w:tcBorders/>
            <w:shd w:fill="FFFFFF" w:val="clear"/>
            <w:vAlign w:val="center"/>
          </w:tcPr>
          <w:p>
            <w:pPr>
              <w:pStyle w:val="TableContents"/>
              <w:bidi w:val="0"/>
              <w:spacing w:before="0" w:after="283"/>
              <w:jc w:val="left"/>
              <w:rPr/>
            </w:pPr>
            <w:r>
              <w:rPr/>
              <w:t>Interest income and other</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right"/>
              <w:rPr/>
            </w:pPr>
            <w:r>
              <w:rPr/>
              <w:t>(393</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sz w:val="4"/>
                <w:szCs w:val="4"/>
              </w:rPr>
            </w:pPr>
            <w:r>
              <w:rPr>
                <w:sz w:val="4"/>
                <w:szCs w:val="4"/>
              </w:rPr>
            </w:r>
          </w:p>
        </w:tc>
        <w:tc>
          <w:tcPr>
            <w:tcW w:w="1057" w:type="dxa"/>
            <w:tcBorders/>
            <w:shd w:fill="FFFFFF" w:val="clear"/>
            <w:vAlign w:val="center"/>
          </w:tcPr>
          <w:p>
            <w:pPr>
              <w:pStyle w:val="TableContents"/>
              <w:bidi w:val="0"/>
              <w:spacing w:before="0" w:after="283"/>
              <w:jc w:val="right"/>
              <w:rPr/>
            </w:pPr>
            <w:r>
              <w:rPr/>
              <w:t>(228</w:t>
            </w:r>
          </w:p>
        </w:tc>
        <w:tc>
          <w:tcPr>
            <w:tcW w:w="10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sz w:val="4"/>
                <w:szCs w:val="4"/>
              </w:rPr>
            </w:pPr>
            <w:r>
              <w:rPr>
                <w:sz w:val="4"/>
                <w:szCs w:val="4"/>
              </w:rPr>
            </w:r>
          </w:p>
        </w:tc>
        <w:tc>
          <w:tcPr>
            <w:tcW w:w="1120" w:type="dxa"/>
            <w:tcBorders/>
            <w:shd w:fill="FFFFFF" w:val="clear"/>
            <w:vAlign w:val="center"/>
          </w:tcPr>
          <w:p>
            <w:pPr>
              <w:pStyle w:val="TableContents"/>
              <w:bidi w:val="0"/>
              <w:spacing w:before="0" w:after="283"/>
              <w:jc w:val="right"/>
              <w:rPr/>
            </w:pPr>
            <w:r>
              <w:rPr/>
              <w:t>(607</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sz w:val="4"/>
                <w:szCs w:val="4"/>
              </w:rPr>
            </w:pPr>
            <w:r>
              <w:rPr>
                <w:sz w:val="4"/>
                <w:szCs w:val="4"/>
              </w:rPr>
            </w:r>
          </w:p>
        </w:tc>
        <w:tc>
          <w:tcPr>
            <w:tcW w:w="998" w:type="dxa"/>
            <w:tcBorders/>
            <w:shd w:fill="FFFFFF" w:val="clear"/>
            <w:vAlign w:val="center"/>
          </w:tcPr>
          <w:p>
            <w:pPr>
              <w:pStyle w:val="TableContents"/>
              <w:bidi w:val="0"/>
              <w:spacing w:before="0" w:after="283"/>
              <w:jc w:val="right"/>
              <w:rPr/>
            </w:pPr>
            <w:r>
              <w:rPr/>
              <w:t>(423</w:t>
            </w:r>
          </w:p>
        </w:tc>
        <w:tc>
          <w:tcPr>
            <w:tcW w:w="118" w:type="dxa"/>
            <w:tcBorders/>
            <w:shd w:fill="FFFFFF" w:val="clear"/>
            <w:vAlign w:val="center"/>
          </w:tcPr>
          <w:p>
            <w:pPr>
              <w:pStyle w:val="TableContents"/>
              <w:bidi w:val="0"/>
              <w:spacing w:before="0" w:after="283"/>
              <w:jc w:val="left"/>
              <w:rPr/>
            </w:pPr>
            <w:r>
              <w:rPr/>
              <w:t>)</w:t>
            </w:r>
          </w:p>
        </w:tc>
      </w:tr>
      <w:tr>
        <w:trPr/>
        <w:tc>
          <w:tcPr>
            <w:tcW w:w="4595" w:type="dxa"/>
            <w:tcBorders/>
            <w:shd w:fill="CCEEFF" w:val="clear"/>
            <w:vAlign w:val="center"/>
          </w:tcPr>
          <w:p>
            <w:pPr>
              <w:pStyle w:val="TableContents"/>
              <w:bidi w:val="0"/>
              <w:spacing w:before="0" w:after="283"/>
              <w:jc w:val="left"/>
              <w:rPr/>
            </w:pPr>
            <w:r>
              <w:rPr/>
              <w:t>Interest expense and other</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before="0" w:after="283"/>
              <w:jc w:val="right"/>
              <w:rPr/>
            </w:pPr>
            <w:r>
              <w:rPr/>
              <w:t>134</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1057" w:type="dxa"/>
            <w:tcBorders/>
            <w:shd w:fill="CCEEFF" w:val="clear"/>
            <w:vAlign w:val="center"/>
          </w:tcPr>
          <w:p>
            <w:pPr>
              <w:pStyle w:val="TableContents"/>
              <w:bidi w:val="0"/>
              <w:spacing w:before="0" w:after="283"/>
              <w:jc w:val="right"/>
              <w:rPr/>
            </w:pPr>
            <w:r>
              <w:rPr/>
              <w:t>(56</w:t>
            </w:r>
          </w:p>
        </w:tc>
        <w:tc>
          <w:tcPr>
            <w:tcW w:w="10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1120" w:type="dxa"/>
            <w:tcBorders/>
            <w:shd w:fill="CCEEFF" w:val="clear"/>
            <w:vAlign w:val="center"/>
          </w:tcPr>
          <w:p>
            <w:pPr>
              <w:pStyle w:val="TableContents"/>
              <w:bidi w:val="0"/>
              <w:spacing w:before="0" w:after="283"/>
              <w:jc w:val="right"/>
              <w:rPr/>
            </w:pPr>
            <w:r>
              <w:rPr/>
              <w:t>147</w:t>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before="0" w:after="283"/>
              <w:jc w:val="right"/>
              <w:rPr/>
            </w:pPr>
            <w:r>
              <w:rPr/>
              <w:t>(373</w:t>
            </w:r>
          </w:p>
        </w:tc>
        <w:tc>
          <w:tcPr>
            <w:tcW w:w="118" w:type="dxa"/>
            <w:tcBorders/>
            <w:shd w:fill="CCEEFF" w:val="clear"/>
            <w:vAlign w:val="center"/>
          </w:tcPr>
          <w:p>
            <w:pPr>
              <w:pStyle w:val="TableContents"/>
              <w:bidi w:val="0"/>
              <w:spacing w:before="0" w:after="283"/>
              <w:jc w:val="left"/>
              <w:rPr/>
            </w:pPr>
            <w:r>
              <w:rPr/>
              <w:t>)</w:t>
            </w:r>
          </w:p>
        </w:tc>
      </w:tr>
      <w:tr>
        <w:trPr/>
        <w:tc>
          <w:tcPr>
            <w:tcW w:w="4595" w:type="dxa"/>
            <w:tcBorders/>
            <w:shd w:fill="FFFFFF" w:val="clear"/>
            <w:vAlign w:val="center"/>
          </w:tcPr>
          <w:p>
            <w:pPr>
              <w:pStyle w:val="TableContents"/>
              <w:bidi w:val="0"/>
              <w:spacing w:before="0" w:after="283"/>
              <w:jc w:val="left"/>
              <w:rPr/>
            </w:pPr>
            <w:r>
              <w:rPr/>
              <w:t>Provision for income tax</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sz w:val="4"/>
                <w:szCs w:val="4"/>
              </w:rPr>
            </w:pPr>
            <w:r>
              <w:rPr>
                <w:sz w:val="4"/>
                <w:szCs w:val="4"/>
              </w:rPr>
            </w:r>
          </w:p>
        </w:tc>
        <w:tc>
          <w:tcPr>
            <w:tcW w:w="64" w:type="dxa"/>
            <w:tcBorders/>
            <w:shd w:fill="FFFFFF" w:val="clear"/>
            <w:vAlign w:val="center"/>
          </w:tcPr>
          <w:p>
            <w:pPr>
              <w:pStyle w:val="TableContents"/>
              <w:bidi w:val="0"/>
              <w:spacing w:before="0" w:after="283"/>
              <w:jc w:val="left"/>
              <w:rPr>
                <w:sz w:val="4"/>
                <w:szCs w:val="4"/>
              </w:rPr>
            </w:pPr>
            <w:r>
              <w:rPr>
                <w:sz w:val="4"/>
                <w:szCs w:val="4"/>
              </w:rPr>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5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20"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98"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118" w:type="dxa"/>
            <w:tcBorders/>
            <w:shd w:fill="FFFFFF" w:val="clear"/>
            <w:vAlign w:val="center"/>
          </w:tcPr>
          <w:p>
            <w:pPr>
              <w:pStyle w:val="TableContents"/>
              <w:bidi w:val="0"/>
              <w:spacing w:before="0" w:after="283"/>
              <w:jc w:val="left"/>
              <w:rPr>
                <w:sz w:val="4"/>
                <w:szCs w:val="4"/>
              </w:rPr>
            </w:pPr>
            <w:r>
              <w:rPr>
                <w:sz w:val="4"/>
                <w:szCs w:val="4"/>
              </w:rPr>
            </w:r>
          </w:p>
        </w:tc>
      </w:tr>
      <w:tr>
        <w:trPr/>
        <w:tc>
          <w:tcPr>
            <w:tcW w:w="4595" w:type="dxa"/>
            <w:tcBorders/>
            <w:shd w:fill="CCEEFF" w:val="clear"/>
            <w:vAlign w:val="center"/>
          </w:tcPr>
          <w:p>
            <w:pPr>
              <w:pStyle w:val="TableContents"/>
              <w:bidi w:val="0"/>
              <w:spacing w:before="0" w:after="283"/>
              <w:jc w:val="left"/>
              <w:rPr>
                <w:b/>
              </w:rPr>
            </w:pPr>
            <w:r>
              <w:rPr>
                <w:b/>
              </w:rPr>
              <w:t>Adjusted EBITDA</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6" w:type="dxa"/>
            <w:tcBorders>
              <w:bottom w:val="double" w:sz="6" w:space="0" w:color="000000"/>
            </w:tcBorders>
            <w:shd w:fill="CCEEFF" w:val="clear"/>
            <w:tcMar>
              <w:bottom w:w="28" w:type="dxa"/>
            </w:tcMar>
            <w:vAlign w:val="center"/>
          </w:tcPr>
          <w:p>
            <w:pPr>
              <w:pStyle w:val="TableContents"/>
              <w:bidi w:val="0"/>
              <w:spacing w:before="0" w:after="283"/>
              <w:jc w:val="right"/>
              <w:rPr/>
            </w:pPr>
            <w:r>
              <w:rPr/>
              <w:t>(6,891</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sz w:val="4"/>
                <w:szCs w:val="4"/>
              </w:rPr>
            </w:pPr>
            <w:r>
              <w:rPr>
                <w:sz w:val="4"/>
                <w:szCs w:val="4"/>
              </w:rPr>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7" w:type="dxa"/>
            <w:tcBorders>
              <w:bottom w:val="double" w:sz="6" w:space="0" w:color="000000"/>
            </w:tcBorders>
            <w:shd w:fill="CCEEFF" w:val="clear"/>
            <w:tcMar>
              <w:bottom w:w="28" w:type="dxa"/>
            </w:tcMar>
            <w:vAlign w:val="center"/>
          </w:tcPr>
          <w:p>
            <w:pPr>
              <w:pStyle w:val="TableContents"/>
              <w:bidi w:val="0"/>
              <w:spacing w:before="0" w:after="283"/>
              <w:jc w:val="right"/>
              <w:rPr/>
            </w:pPr>
            <w:r>
              <w:rPr/>
              <w:t>(6,489</w:t>
            </w:r>
          </w:p>
        </w:tc>
        <w:tc>
          <w:tcPr>
            <w:tcW w:w="10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0" w:type="dxa"/>
            <w:tcBorders>
              <w:bottom w:val="double" w:sz="6" w:space="0" w:color="000000"/>
            </w:tcBorders>
            <w:shd w:fill="CCEEFF" w:val="clear"/>
            <w:tcMar>
              <w:bottom w:w="28" w:type="dxa"/>
            </w:tcMar>
            <w:vAlign w:val="center"/>
          </w:tcPr>
          <w:p>
            <w:pPr>
              <w:pStyle w:val="TableContents"/>
              <w:bidi w:val="0"/>
              <w:spacing w:before="0" w:after="283"/>
              <w:jc w:val="right"/>
              <w:rPr/>
            </w:pPr>
            <w:r>
              <w:rPr/>
              <w:t>(12,542</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jc w:val="right"/>
              <w:rPr/>
            </w:pPr>
            <w:r>
              <w:rPr/>
              <w:t>(14,177</w:t>
            </w:r>
          </w:p>
        </w:tc>
        <w:tc>
          <w:tcPr>
            <w:tcW w:w="118" w:type="dxa"/>
            <w:tcBorders/>
            <w:shd w:fill="CCEEFF" w:val="clear"/>
            <w:vAlign w:val="center"/>
          </w:tcPr>
          <w:p>
            <w:pPr>
              <w:pStyle w:val="TableContents"/>
              <w:bidi w:val="0"/>
              <w:spacing w:before="0" w:after="283"/>
              <w:jc w:val="left"/>
              <w:rPr/>
            </w:pPr>
            <w:r>
              <w:rPr/>
              <w:t>)</w:t>
            </w:r>
          </w:p>
        </w:tc>
      </w:tr>
      <w:tr>
        <w:trPr/>
        <w:tc>
          <w:tcPr>
            <w:tcW w:w="4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sz w:val="4"/>
                <w:szCs w:val="4"/>
              </w:rPr>
            </w:pPr>
            <w:r>
              <w:rPr>
                <w:sz w:val="4"/>
                <w:szCs w:val="4"/>
              </w:rPr>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sz w:val="4"/>
                <w:szCs w:val="4"/>
              </w:rPr>
            </w:pPr>
            <w:r>
              <w:rPr>
                <w:sz w:val="4"/>
                <w:szCs w:val="4"/>
              </w:rPr>
            </w:r>
          </w:p>
        </w:tc>
        <w:tc>
          <w:tcPr>
            <w:tcW w:w="1057"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sz w:val="4"/>
                <w:szCs w:val="4"/>
              </w:rPr>
            </w:pPr>
            <w:r>
              <w:rPr>
                <w:sz w:val="4"/>
                <w:szCs w:val="4"/>
              </w:rPr>
            </w:r>
          </w:p>
        </w:tc>
        <w:tc>
          <w:tcPr>
            <w:tcW w:w="1120"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sz w:val="4"/>
                <w:szCs w:val="4"/>
              </w:rPr>
            </w:pPr>
            <w:r>
              <w:rPr>
                <w:sz w:val="4"/>
                <w:szCs w:val="4"/>
              </w:rPr>
            </w:r>
          </w:p>
        </w:tc>
        <w:tc>
          <w:tcPr>
            <w:tcW w:w="998"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sz w:val="4"/>
                <w:szCs w:val="4"/>
              </w:rPr>
            </w:pPr>
            <w:r>
              <w:rPr>
                <w:sz w:val="4"/>
                <w:szCs w:val="4"/>
              </w:rPr>
            </w:r>
          </w:p>
        </w:tc>
      </w:tr>
      <w:tr>
        <w:trPr/>
        <w:tc>
          <w:tcPr>
            <w:tcW w:w="4595" w:type="dxa"/>
            <w:tcBorders/>
            <w:shd w:fill="CCEEFF" w:val="clear"/>
            <w:vAlign w:val="center"/>
          </w:tcPr>
          <w:p>
            <w:pPr>
              <w:pStyle w:val="TableContents"/>
              <w:bidi w:val="0"/>
              <w:spacing w:before="0" w:after="283"/>
              <w:jc w:val="left"/>
              <w:rPr>
                <w:b/>
              </w:rPr>
            </w:pPr>
            <w:r>
              <w:rPr>
                <w:b/>
              </w:rPr>
              <w:t>GAAP net loss per share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1057"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1120"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sz w:val="4"/>
                <w:szCs w:val="4"/>
              </w:rPr>
            </w:pPr>
            <w:r>
              <w:rPr>
                <w:sz w:val="4"/>
                <w:szCs w:val="4"/>
              </w:rPr>
            </w:r>
          </w:p>
        </w:tc>
      </w:tr>
      <w:tr>
        <w:trPr/>
        <w:tc>
          <w:tcPr>
            <w:tcW w:w="4595"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6" w:type="dxa"/>
            <w:tcBorders>
              <w:bottom w:val="double" w:sz="6" w:space="0" w:color="000000"/>
            </w:tcBorders>
            <w:shd w:fill="FFFFFF" w:val="clear"/>
            <w:tcMar>
              <w:bottom w:w="28" w:type="dxa"/>
            </w:tcMar>
            <w:vAlign w:val="center"/>
          </w:tcPr>
          <w:p>
            <w:pPr>
              <w:pStyle w:val="TableContents"/>
              <w:bidi w:val="0"/>
              <w:spacing w:before="0" w:after="283"/>
              <w:jc w:val="right"/>
              <w:rPr/>
            </w:pPr>
            <w:r>
              <w:rPr/>
              <w:t>(0.48</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sz w:val="4"/>
                <w:szCs w:val="4"/>
              </w:rPr>
            </w:pPr>
            <w:r>
              <w:rPr>
                <w:sz w:val="4"/>
                <w:szCs w:val="4"/>
              </w:rPr>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7" w:type="dxa"/>
            <w:tcBorders>
              <w:bottom w:val="double" w:sz="6" w:space="0" w:color="000000"/>
            </w:tcBorders>
            <w:shd w:fill="FFFFFF" w:val="clear"/>
            <w:tcMar>
              <w:bottom w:w="28" w:type="dxa"/>
            </w:tcMar>
            <w:vAlign w:val="center"/>
          </w:tcPr>
          <w:p>
            <w:pPr>
              <w:pStyle w:val="TableContents"/>
              <w:bidi w:val="0"/>
              <w:spacing w:before="0" w:after="283"/>
              <w:jc w:val="right"/>
              <w:rPr/>
            </w:pPr>
            <w:r>
              <w:rPr/>
              <w:t>(1.16</w:t>
            </w:r>
          </w:p>
        </w:tc>
        <w:tc>
          <w:tcPr>
            <w:tcW w:w="10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0" w:type="dxa"/>
            <w:tcBorders>
              <w:bottom w:val="double" w:sz="6" w:space="0" w:color="000000"/>
            </w:tcBorders>
            <w:shd w:fill="FFFFFF" w:val="clear"/>
            <w:tcMar>
              <w:bottom w:w="28" w:type="dxa"/>
            </w:tcMar>
            <w:vAlign w:val="center"/>
          </w:tcPr>
          <w:p>
            <w:pPr>
              <w:pStyle w:val="TableContents"/>
              <w:bidi w:val="0"/>
              <w:spacing w:before="0" w:after="283"/>
              <w:jc w:val="right"/>
              <w:rPr/>
            </w:pPr>
            <w:r>
              <w:rPr/>
              <w:t>(0.95</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98" w:type="dxa"/>
            <w:tcBorders>
              <w:bottom w:val="double" w:sz="6" w:space="0" w:color="000000"/>
            </w:tcBorders>
            <w:shd w:fill="FFFFFF" w:val="clear"/>
            <w:tcMar>
              <w:bottom w:w="28" w:type="dxa"/>
            </w:tcMar>
            <w:vAlign w:val="center"/>
          </w:tcPr>
          <w:p>
            <w:pPr>
              <w:pStyle w:val="TableContents"/>
              <w:bidi w:val="0"/>
              <w:spacing w:before="0" w:after="283"/>
              <w:jc w:val="right"/>
              <w:rPr/>
            </w:pPr>
            <w:r>
              <w:rPr/>
              <w:t>(2.80</w:t>
            </w:r>
          </w:p>
        </w:tc>
        <w:tc>
          <w:tcPr>
            <w:tcW w:w="118" w:type="dxa"/>
            <w:tcBorders/>
            <w:shd w:fill="FFFFFF" w:val="clear"/>
            <w:vAlign w:val="center"/>
          </w:tcPr>
          <w:p>
            <w:pPr>
              <w:pStyle w:val="TableContents"/>
              <w:bidi w:val="0"/>
              <w:spacing w:before="0" w:after="283"/>
              <w:jc w:val="left"/>
              <w:rPr/>
            </w:pPr>
            <w:r>
              <w:rPr/>
              <w:t>)</w:t>
            </w:r>
          </w:p>
        </w:tc>
      </w:tr>
      <w:tr>
        <w:trPr/>
        <w:tc>
          <w:tcPr>
            <w:tcW w:w="4595" w:type="dxa"/>
            <w:tcBorders/>
            <w:shd w:fill="CCEEFF" w:val="clear"/>
            <w:vAlign w:val="center"/>
          </w:tcPr>
          <w:p>
            <w:pPr>
              <w:pStyle w:val="TableContents"/>
              <w:bidi w:val="0"/>
              <w:spacing w:before="0" w:after="283"/>
              <w:jc w:val="left"/>
              <w:rPr>
                <w:b/>
              </w:rPr>
            </w:pPr>
            <w:r>
              <w:rPr>
                <w:b/>
              </w:rPr>
              <w:t>Non-GAAP net loss per share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1057"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1120"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sz w:val="4"/>
                <w:szCs w:val="4"/>
              </w:rPr>
            </w:pPr>
            <w:r>
              <w:rPr>
                <w:sz w:val="4"/>
                <w:szCs w:val="4"/>
              </w:rPr>
            </w:r>
          </w:p>
        </w:tc>
      </w:tr>
      <w:tr>
        <w:trPr/>
        <w:tc>
          <w:tcPr>
            <w:tcW w:w="4595"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6" w:type="dxa"/>
            <w:tcBorders>
              <w:bottom w:val="double" w:sz="6" w:space="0" w:color="000000"/>
            </w:tcBorders>
            <w:shd w:fill="FFFFFF" w:val="clear"/>
            <w:tcMar>
              <w:bottom w:w="28" w:type="dxa"/>
            </w:tcMar>
            <w:vAlign w:val="center"/>
          </w:tcPr>
          <w:p>
            <w:pPr>
              <w:pStyle w:val="TableContents"/>
              <w:bidi w:val="0"/>
              <w:spacing w:before="0" w:after="283"/>
              <w:jc w:val="right"/>
              <w:rPr/>
            </w:pPr>
            <w:r>
              <w:rPr/>
              <w:t>(0.35</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sz w:val="4"/>
                <w:szCs w:val="4"/>
              </w:rPr>
            </w:pPr>
            <w:r>
              <w:rPr>
                <w:sz w:val="4"/>
                <w:szCs w:val="4"/>
              </w:rPr>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7" w:type="dxa"/>
            <w:tcBorders>
              <w:bottom w:val="double" w:sz="6" w:space="0" w:color="000000"/>
            </w:tcBorders>
            <w:shd w:fill="FFFFFF" w:val="clear"/>
            <w:tcMar>
              <w:bottom w:w="28" w:type="dxa"/>
            </w:tcMar>
            <w:vAlign w:val="center"/>
          </w:tcPr>
          <w:p>
            <w:pPr>
              <w:pStyle w:val="TableContents"/>
              <w:bidi w:val="0"/>
              <w:spacing w:before="0" w:after="283"/>
              <w:jc w:val="right"/>
              <w:rPr/>
            </w:pPr>
            <w:r>
              <w:rPr/>
              <w:t>(0.91</w:t>
            </w:r>
          </w:p>
        </w:tc>
        <w:tc>
          <w:tcPr>
            <w:tcW w:w="10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0" w:type="dxa"/>
            <w:tcBorders>
              <w:bottom w:val="double" w:sz="6" w:space="0" w:color="000000"/>
            </w:tcBorders>
            <w:shd w:fill="FFFFFF" w:val="clear"/>
            <w:tcMar>
              <w:bottom w:w="28" w:type="dxa"/>
            </w:tcMar>
            <w:vAlign w:val="center"/>
          </w:tcPr>
          <w:p>
            <w:pPr>
              <w:pStyle w:val="TableContents"/>
              <w:bidi w:val="0"/>
              <w:spacing w:before="0" w:after="283"/>
              <w:jc w:val="right"/>
              <w:rPr/>
            </w:pPr>
            <w:r>
              <w:rPr/>
              <w:t>(0.67</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98" w:type="dxa"/>
            <w:tcBorders>
              <w:bottom w:val="double" w:sz="6" w:space="0" w:color="000000"/>
            </w:tcBorders>
            <w:shd w:fill="FFFFFF" w:val="clear"/>
            <w:tcMar>
              <w:bottom w:w="28" w:type="dxa"/>
            </w:tcMar>
            <w:vAlign w:val="center"/>
          </w:tcPr>
          <w:p>
            <w:pPr>
              <w:pStyle w:val="TableContents"/>
              <w:bidi w:val="0"/>
              <w:spacing w:before="0" w:after="283"/>
              <w:jc w:val="right"/>
              <w:rPr/>
            </w:pPr>
            <w:r>
              <w:rPr/>
              <w:t>(2.07</w:t>
            </w:r>
          </w:p>
        </w:tc>
        <w:tc>
          <w:tcPr>
            <w:tcW w:w="118" w:type="dxa"/>
            <w:tcBorders/>
            <w:shd w:fill="FFFFFF" w:val="clear"/>
            <w:vAlign w:val="center"/>
          </w:tcPr>
          <w:p>
            <w:pPr>
              <w:pStyle w:val="TableContents"/>
              <w:bidi w:val="0"/>
              <w:spacing w:before="0" w:after="283"/>
              <w:jc w:val="left"/>
              <w:rPr/>
            </w:pPr>
            <w:r>
              <w:rPr/>
              <w:t>)</w:t>
            </w:r>
          </w:p>
        </w:tc>
      </w:tr>
      <w:tr>
        <w:trPr/>
        <w:tc>
          <w:tcPr>
            <w:tcW w:w="4595" w:type="dxa"/>
            <w:tcBorders/>
            <w:shd w:fill="CCEEFF" w:val="clear"/>
            <w:vAlign w:val="center"/>
          </w:tcPr>
          <w:p>
            <w:pPr>
              <w:pStyle w:val="TableContents"/>
              <w:bidi w:val="0"/>
              <w:spacing w:before="0" w:after="283"/>
              <w:jc w:val="left"/>
              <w:rPr>
                <w:b/>
              </w:rPr>
            </w:pPr>
            <w:r>
              <w:rPr>
                <w:b/>
              </w:rPr>
              <w:t>Shares used in computing GAAP net loss per share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1057"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1120"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sz w:val="4"/>
                <w:szCs w:val="4"/>
              </w:rPr>
            </w:pPr>
            <w:r>
              <w:rPr>
                <w:sz w:val="4"/>
                <w:szCs w:val="4"/>
              </w:rPr>
            </w:r>
          </w:p>
        </w:tc>
      </w:tr>
      <w:tr>
        <w:trPr/>
        <w:tc>
          <w:tcPr>
            <w:tcW w:w="4595"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86" w:type="dxa"/>
            <w:tcBorders>
              <w:bottom w:val="double" w:sz="6" w:space="0" w:color="000000"/>
            </w:tcBorders>
            <w:shd w:fill="FFFFFF" w:val="clear"/>
            <w:tcMar>
              <w:bottom w:w="28" w:type="dxa"/>
            </w:tcMar>
            <w:vAlign w:val="center"/>
          </w:tcPr>
          <w:p>
            <w:pPr>
              <w:pStyle w:val="TableContents"/>
              <w:bidi w:val="0"/>
              <w:spacing w:before="0" w:after="283"/>
              <w:jc w:val="right"/>
              <w:rPr/>
            </w:pPr>
            <w:r>
              <w:rPr/>
              <w:t>19,125,970</w:t>
            </w:r>
          </w:p>
        </w:tc>
        <w:tc>
          <w:tcPr>
            <w:tcW w:w="102" w:type="dxa"/>
            <w:tcBorders/>
            <w:shd w:fill="FFFFFF" w:val="clear"/>
            <w:vAlign w:val="center"/>
          </w:tcPr>
          <w:p>
            <w:pPr>
              <w:pStyle w:val="TableContents"/>
              <w:bidi w:val="0"/>
              <w:spacing w:before="0" w:after="283"/>
              <w:jc w:val="left"/>
              <w:rPr>
                <w:sz w:val="4"/>
                <w:szCs w:val="4"/>
              </w:rPr>
            </w:pPr>
            <w:r>
              <w:rPr>
                <w:sz w:val="4"/>
                <w:szCs w:val="4"/>
              </w:rPr>
            </w:r>
          </w:p>
        </w:tc>
        <w:tc>
          <w:tcPr>
            <w:tcW w:w="64" w:type="dxa"/>
            <w:tcBorders/>
            <w:shd w:fill="FFFFFF" w:val="clear"/>
            <w:vAlign w:val="center"/>
          </w:tcPr>
          <w:p>
            <w:pPr>
              <w:pStyle w:val="TableContents"/>
              <w:bidi w:val="0"/>
              <w:spacing w:before="0" w:after="283"/>
              <w:jc w:val="left"/>
              <w:rPr>
                <w:sz w:val="4"/>
                <w:szCs w:val="4"/>
              </w:rPr>
            </w:pPr>
            <w:r>
              <w:rPr>
                <w:sz w:val="4"/>
                <w:szCs w:val="4"/>
              </w:rPr>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57" w:type="dxa"/>
            <w:tcBorders>
              <w:bottom w:val="double" w:sz="6" w:space="0" w:color="000000"/>
            </w:tcBorders>
            <w:shd w:fill="FFFFFF" w:val="clear"/>
            <w:tcMar>
              <w:bottom w:w="28" w:type="dxa"/>
            </w:tcMar>
            <w:vAlign w:val="center"/>
          </w:tcPr>
          <w:p>
            <w:pPr>
              <w:pStyle w:val="TableContents"/>
              <w:bidi w:val="0"/>
              <w:spacing w:before="0" w:after="283"/>
              <w:jc w:val="right"/>
              <w:rPr/>
            </w:pPr>
            <w:r>
              <w:rPr/>
              <w:t>6,874,454</w:t>
            </w:r>
          </w:p>
        </w:tc>
        <w:tc>
          <w:tcPr>
            <w:tcW w:w="10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20" w:type="dxa"/>
            <w:tcBorders>
              <w:bottom w:val="double" w:sz="6" w:space="0" w:color="000000"/>
            </w:tcBorders>
            <w:shd w:fill="FFFFFF" w:val="clear"/>
            <w:tcMar>
              <w:bottom w:w="28" w:type="dxa"/>
            </w:tcMar>
            <w:vAlign w:val="center"/>
          </w:tcPr>
          <w:p>
            <w:pPr>
              <w:pStyle w:val="TableContents"/>
              <w:bidi w:val="0"/>
              <w:spacing w:before="0" w:after="283"/>
              <w:jc w:val="right"/>
              <w:rPr/>
            </w:pPr>
            <w:r>
              <w:rPr/>
              <w:t>18,137,050</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98" w:type="dxa"/>
            <w:tcBorders>
              <w:bottom w:val="double" w:sz="6" w:space="0" w:color="000000"/>
            </w:tcBorders>
            <w:shd w:fill="FFFFFF" w:val="clear"/>
            <w:tcMar>
              <w:bottom w:w="28" w:type="dxa"/>
            </w:tcMar>
            <w:vAlign w:val="center"/>
          </w:tcPr>
          <w:p>
            <w:pPr>
              <w:pStyle w:val="TableContents"/>
              <w:bidi w:val="0"/>
              <w:spacing w:before="0" w:after="283"/>
              <w:jc w:val="right"/>
              <w:rPr/>
            </w:pPr>
            <w:r>
              <w:rPr/>
              <w:t>6,499,089</w:t>
            </w:r>
          </w:p>
        </w:tc>
        <w:tc>
          <w:tcPr>
            <w:tcW w:w="118" w:type="dxa"/>
            <w:tcBorders/>
            <w:shd w:fill="FFFFFF" w:val="clear"/>
            <w:vAlign w:val="center"/>
          </w:tcPr>
          <w:p>
            <w:pPr>
              <w:pStyle w:val="TableContents"/>
              <w:bidi w:val="0"/>
              <w:spacing w:before="0" w:after="283"/>
              <w:jc w:val="left"/>
              <w:rPr>
                <w:sz w:val="4"/>
                <w:szCs w:val="4"/>
              </w:rPr>
            </w:pPr>
            <w:r>
              <w:rPr>
                <w:sz w:val="4"/>
                <w:szCs w:val="4"/>
              </w:rPr>
            </w:r>
          </w:p>
        </w:tc>
      </w:tr>
      <w:tr>
        <w:trPr/>
        <w:tc>
          <w:tcPr>
            <w:tcW w:w="4595" w:type="dxa"/>
            <w:tcBorders/>
            <w:shd w:fill="CCEEFF" w:val="clear"/>
            <w:vAlign w:val="center"/>
          </w:tcPr>
          <w:p>
            <w:pPr>
              <w:pStyle w:val="TableContents"/>
              <w:bidi w:val="0"/>
              <w:spacing w:before="0" w:after="283"/>
              <w:jc w:val="left"/>
              <w:rPr>
                <w:b/>
              </w:rPr>
            </w:pPr>
            <w:r>
              <w:rPr>
                <w:b/>
              </w:rPr>
              <w:t>Shares used in computing Non-GAAP net loss per share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1057"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1120"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sz w:val="4"/>
                <w:szCs w:val="4"/>
              </w:rPr>
            </w:pPr>
            <w:r>
              <w:rPr>
                <w:sz w:val="4"/>
                <w:szCs w:val="4"/>
              </w:rPr>
            </w:r>
          </w:p>
        </w:tc>
      </w:tr>
      <w:tr>
        <w:trPr/>
        <w:tc>
          <w:tcPr>
            <w:tcW w:w="4595"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86" w:type="dxa"/>
            <w:tcBorders>
              <w:bottom w:val="double" w:sz="6" w:space="0" w:color="000000"/>
            </w:tcBorders>
            <w:shd w:fill="FFFFFF" w:val="clear"/>
            <w:tcMar>
              <w:bottom w:w="28" w:type="dxa"/>
            </w:tcMar>
            <w:vAlign w:val="center"/>
          </w:tcPr>
          <w:p>
            <w:pPr>
              <w:pStyle w:val="TableContents"/>
              <w:bidi w:val="0"/>
              <w:spacing w:before="0" w:after="283"/>
              <w:jc w:val="right"/>
              <w:rPr/>
            </w:pPr>
            <w:r>
              <w:rPr/>
              <w:t>19,125,970</w:t>
            </w:r>
          </w:p>
        </w:tc>
        <w:tc>
          <w:tcPr>
            <w:tcW w:w="102" w:type="dxa"/>
            <w:tcBorders/>
            <w:shd w:fill="FFFFFF" w:val="clear"/>
            <w:vAlign w:val="center"/>
          </w:tcPr>
          <w:p>
            <w:pPr>
              <w:pStyle w:val="TableContents"/>
              <w:bidi w:val="0"/>
              <w:spacing w:before="0" w:after="283"/>
              <w:jc w:val="left"/>
              <w:rPr>
                <w:sz w:val="4"/>
                <w:szCs w:val="4"/>
              </w:rPr>
            </w:pPr>
            <w:r>
              <w:rPr>
                <w:sz w:val="4"/>
                <w:szCs w:val="4"/>
              </w:rPr>
            </w:r>
          </w:p>
        </w:tc>
        <w:tc>
          <w:tcPr>
            <w:tcW w:w="64" w:type="dxa"/>
            <w:tcBorders/>
            <w:shd w:fill="FFFFFF" w:val="clear"/>
            <w:vAlign w:val="center"/>
          </w:tcPr>
          <w:p>
            <w:pPr>
              <w:pStyle w:val="TableContents"/>
              <w:bidi w:val="0"/>
              <w:spacing w:before="0" w:after="283"/>
              <w:jc w:val="left"/>
              <w:rPr>
                <w:sz w:val="4"/>
                <w:szCs w:val="4"/>
              </w:rPr>
            </w:pPr>
            <w:r>
              <w:rPr>
                <w:sz w:val="4"/>
                <w:szCs w:val="4"/>
              </w:rPr>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57" w:type="dxa"/>
            <w:tcBorders>
              <w:bottom w:val="double" w:sz="6" w:space="0" w:color="000000"/>
            </w:tcBorders>
            <w:shd w:fill="FFFFFF" w:val="clear"/>
            <w:tcMar>
              <w:bottom w:w="28" w:type="dxa"/>
            </w:tcMar>
            <w:vAlign w:val="center"/>
          </w:tcPr>
          <w:p>
            <w:pPr>
              <w:pStyle w:val="TableContents"/>
              <w:bidi w:val="0"/>
              <w:spacing w:before="0" w:after="283"/>
              <w:jc w:val="right"/>
              <w:rPr/>
            </w:pPr>
            <w:r>
              <w:rPr/>
              <w:t>6,874,454</w:t>
            </w:r>
          </w:p>
        </w:tc>
        <w:tc>
          <w:tcPr>
            <w:tcW w:w="10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20" w:type="dxa"/>
            <w:tcBorders>
              <w:bottom w:val="double" w:sz="6" w:space="0" w:color="000000"/>
            </w:tcBorders>
            <w:shd w:fill="FFFFFF" w:val="clear"/>
            <w:tcMar>
              <w:bottom w:w="28" w:type="dxa"/>
            </w:tcMar>
            <w:vAlign w:val="center"/>
          </w:tcPr>
          <w:p>
            <w:pPr>
              <w:pStyle w:val="TableContents"/>
              <w:bidi w:val="0"/>
              <w:spacing w:before="0" w:after="283"/>
              <w:jc w:val="right"/>
              <w:rPr/>
            </w:pPr>
            <w:r>
              <w:rPr/>
              <w:t>18,137,050</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98" w:type="dxa"/>
            <w:tcBorders>
              <w:bottom w:val="double" w:sz="6" w:space="0" w:color="000000"/>
            </w:tcBorders>
            <w:shd w:fill="FFFFFF" w:val="clear"/>
            <w:tcMar>
              <w:bottom w:w="28" w:type="dxa"/>
            </w:tcMar>
            <w:vAlign w:val="center"/>
          </w:tcPr>
          <w:p>
            <w:pPr>
              <w:pStyle w:val="TableContents"/>
              <w:bidi w:val="0"/>
              <w:spacing w:before="0" w:after="283"/>
              <w:jc w:val="right"/>
              <w:rPr/>
            </w:pPr>
            <w:r>
              <w:rPr/>
              <w:t>6,499,089</w:t>
            </w:r>
          </w:p>
        </w:tc>
        <w:tc>
          <w:tcPr>
            <w:tcW w:w="118"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160"/>
        <w:jc w:val="left"/>
        <w:rPr>
          <w:caps w:val="false"/>
          <w:smallCaps w:val="false"/>
        </w:rPr>
      </w:pPr>
      <w:r>
        <w:rPr>
          <w:caps w:val="false"/>
          <w:smallCaps w:val="false"/>
        </w:rPr>
        <w:t> </w:t>
      </w:r>
    </w:p>
    <w:p>
      <w:pPr>
        <w:pStyle w:val="TextBody"/>
        <w:bidi w:val="0"/>
        <w:spacing w:before="0" w:after="0"/>
        <w:jc w:val="left"/>
        <w:rPr/>
      </w:pPr>
      <w:r>
        <w:rPr/>
        <w:t xml:space="preserve">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256" w:before="0" w:after="160"/>
        <w:jc w:val="left"/>
        <w:rPr>
          <w:caps w:val="false"/>
          <w:smallCaps w:val="false"/>
        </w:rPr>
      </w:pPr>
      <w:r>
        <w:rPr>
          <w:caps w:val="false"/>
          <w:smallCaps w:val="false"/>
        </w:rPr>
        <w:t> </w:t>
      </w:r>
    </w:p>
    <w:p>
      <w:pPr>
        <w:pStyle w:val="TextBody"/>
        <w:bidi w:val="0"/>
        <w:jc w:val="left"/>
        <w:rPr>
          <w:rFonts w:ascii="Calibri;Helvetica;Sans-Serif" w:hAnsi="Calibri;Helvetica;Sans-Serif"/>
          <w:b/>
          <w:i w:val="false"/>
          <w:caps w:val="false"/>
          <w:smallCaps w:val="false"/>
          <w:sz w:val="22"/>
          <w:u w:val="single"/>
        </w:rPr>
      </w:pPr>
      <w:r>
        <w:rPr>
          <w:rFonts w:ascii="Calibri;Helvetica;Sans-Serif" w:hAnsi="Calibri;Helvetica;Sans-Serif"/>
          <w:b/>
          <w:i w:val="false"/>
          <w:caps w:val="false"/>
          <w:smallCaps w:val="false"/>
          <w:sz w:val="22"/>
          <w:u w:val="single"/>
        </w:rPr>
        <w:t>Investor Relations Contacts:</w:t>
      </w:r>
    </w:p>
    <w:p>
      <w:pPr>
        <w:pStyle w:val="TextBody"/>
        <w:bidi w:val="0"/>
        <w:jc w:val="left"/>
        <w:rPr>
          <w:caps w:val="false"/>
          <w:smallCaps w:val="false"/>
        </w:rPr>
      </w:pPr>
      <w:r>
        <w:rPr>
          <w:caps w:val="false"/>
          <w:smallCaps w:val="false"/>
        </w:rPr>
        <w:t> </w:t>
      </w:r>
    </w:p>
    <w:p>
      <w:pPr>
        <w:pStyle w:val="TextBody"/>
        <w:bidi w:val="0"/>
        <w:jc w:val="left"/>
        <w:rPr>
          <w:rFonts w:ascii="Calibri;Helvetica;Sans-Serif" w:hAnsi="Calibri;Helvetica;Sans-Serif"/>
          <w:b/>
          <w:i w:val="false"/>
          <w:caps w:val="false"/>
          <w:smallCaps w:val="false"/>
          <w:sz w:val="22"/>
        </w:rPr>
      </w:pPr>
      <w:r>
        <w:rPr>
          <w:rFonts w:ascii="Calibri;Helvetica;Sans-Serif" w:hAnsi="Calibri;Helvetica;Sans-Serif"/>
          <w:b/>
          <w:i w:val="false"/>
          <w:caps w:val="false"/>
          <w:smallCaps w:val="false"/>
          <w:sz w:val="22"/>
        </w:rPr>
        <w:t>Agency Contact</w:t>
      </w:r>
    </w:p>
    <w:p>
      <w:pPr>
        <w:pStyle w:val="TextBody"/>
        <w:bidi w:val="0"/>
        <w:jc w:val="left"/>
        <w:rPr>
          <w:rFonts w:ascii="Calibri;Helvetica;Sans-Serif" w:hAnsi="Calibri;Helvetica;Sans-Serif"/>
          <w:b w:val="false"/>
          <w:i w:val="false"/>
          <w:caps w:val="false"/>
          <w:smallCaps w:val="false"/>
          <w:sz w:val="22"/>
        </w:rPr>
      </w:pPr>
      <w:r>
        <w:rPr>
          <w:rFonts w:ascii="Calibri;Helvetica;Sans-Serif" w:hAnsi="Calibri;Helvetica;Sans-Serif"/>
          <w:b w:val="false"/>
          <w:i w:val="false"/>
          <w:caps w:val="false"/>
          <w:smallCaps w:val="false"/>
          <w:sz w:val="22"/>
        </w:rPr>
        <w:t>Evan Niu, CFA</w:t>
      </w:r>
    </w:p>
    <w:p>
      <w:pPr>
        <w:pStyle w:val="TextBody"/>
        <w:bidi w:val="0"/>
        <w:jc w:val="left"/>
        <w:rPr>
          <w:rFonts w:ascii="Calibri;Helvetica;Sans-Serif" w:hAnsi="Calibri;Helvetica;Sans-Serif"/>
          <w:b w:val="false"/>
          <w:i w:val="false"/>
          <w:caps w:val="false"/>
          <w:smallCaps w:val="false"/>
          <w:sz w:val="22"/>
        </w:rPr>
      </w:pPr>
      <w:r>
        <w:rPr>
          <w:rFonts w:ascii="Calibri;Helvetica;Sans-Serif" w:hAnsi="Calibri;Helvetica;Sans-Serif"/>
          <w:b w:val="false"/>
          <w:i w:val="false"/>
          <w:caps w:val="false"/>
          <w:smallCaps w:val="false"/>
          <w:sz w:val="22"/>
        </w:rPr>
        <w:t>Financial Profiles, Inc.</w:t>
      </w:r>
    </w:p>
    <w:p>
      <w:pPr>
        <w:pStyle w:val="TextBody"/>
        <w:bidi w:val="0"/>
        <w:jc w:val="left"/>
        <w:rPr>
          <w:rFonts w:ascii="Calibri;Helvetica;Sans-Serif" w:hAnsi="Calibri;Helvetica;Sans-Serif"/>
          <w:b w:val="false"/>
          <w:i w:val="false"/>
          <w:caps w:val="false"/>
          <w:smallCaps w:val="false"/>
          <w:color w:val="0000FF"/>
          <w:sz w:val="22"/>
          <w:u w:val="single"/>
        </w:rPr>
      </w:pPr>
      <w:r>
        <w:rPr>
          <w:rFonts w:ascii="Calibri;Helvetica;Sans-Serif" w:hAnsi="Calibri;Helvetica;Sans-Serif"/>
          <w:b w:val="false"/>
          <w:i w:val="false"/>
          <w:caps w:val="false"/>
          <w:smallCaps w:val="false"/>
          <w:color w:val="0000FF"/>
          <w:sz w:val="22"/>
          <w:u w:val="single"/>
        </w:rPr>
        <w:t>eniu@finprofiles.com</w:t>
      </w:r>
    </w:p>
    <w:p>
      <w:pPr>
        <w:pStyle w:val="TextBody"/>
        <w:bidi w:val="0"/>
        <w:jc w:val="left"/>
        <w:rPr>
          <w:rFonts w:ascii="Calibri;Helvetica;Sans-Serif" w:hAnsi="Calibri;Helvetica;Sans-Serif"/>
          <w:b w:val="false"/>
          <w:i w:val="false"/>
          <w:caps w:val="false"/>
          <w:smallCaps w:val="false"/>
          <w:sz w:val="22"/>
        </w:rPr>
      </w:pPr>
      <w:r>
        <w:rPr>
          <w:rFonts w:ascii="Calibri;Helvetica;Sans-Serif" w:hAnsi="Calibri;Helvetica;Sans-Serif"/>
          <w:b w:val="false"/>
          <w:i w:val="false"/>
          <w:caps w:val="false"/>
          <w:smallCaps w:val="false"/>
          <w:sz w:val="22"/>
        </w:rPr>
        <w:t>310-622-8243</w:t>
      </w:r>
    </w:p>
    <w:p>
      <w:pPr>
        <w:pStyle w:val="TextBody"/>
        <w:bidi w:val="0"/>
        <w:jc w:val="left"/>
        <w:rPr>
          <w:caps w:val="false"/>
          <w:smallCaps w:val="false"/>
        </w:rPr>
      </w:pPr>
      <w:r>
        <w:rPr>
          <w:caps w:val="false"/>
          <w:smallCaps w:val="false"/>
        </w:rPr>
        <w:t> </w:t>
      </w:r>
    </w:p>
    <w:p>
      <w:pPr>
        <w:pStyle w:val="TextBody"/>
        <w:bidi w:val="0"/>
        <w:jc w:val="left"/>
        <w:rPr>
          <w:rFonts w:ascii="Calibri;Helvetica;Sans-Serif" w:hAnsi="Calibri;Helvetica;Sans-Serif"/>
          <w:b/>
          <w:i w:val="false"/>
          <w:caps w:val="false"/>
          <w:smallCaps w:val="false"/>
          <w:sz w:val="22"/>
        </w:rPr>
      </w:pPr>
      <w:r>
        <w:rPr>
          <w:rFonts w:ascii="Calibri;Helvetica;Sans-Serif" w:hAnsi="Calibri;Helvetica;Sans-Serif"/>
          <w:b/>
          <w:i w:val="false"/>
          <w:caps w:val="false"/>
          <w:smallCaps w:val="false"/>
          <w:sz w:val="22"/>
        </w:rPr>
        <w:t>Company Contact</w:t>
      </w:r>
    </w:p>
    <w:p>
      <w:pPr>
        <w:pStyle w:val="TextBody"/>
        <w:bidi w:val="0"/>
        <w:jc w:val="left"/>
        <w:rPr>
          <w:rFonts w:ascii="Calibri;Helvetica;Sans-Serif" w:hAnsi="Calibri;Helvetica;Sans-Serif"/>
          <w:b w:val="false"/>
          <w:i w:val="false"/>
          <w:caps w:val="false"/>
          <w:smallCaps w:val="false"/>
          <w:sz w:val="22"/>
        </w:rPr>
      </w:pPr>
      <w:r>
        <w:rPr>
          <w:rFonts w:ascii="Calibri;Helvetica;Sans-Serif" w:hAnsi="Calibri;Helvetica;Sans-Serif"/>
          <w:b w:val="false"/>
          <w:i w:val="false"/>
          <w:caps w:val="false"/>
          <w:smallCaps w:val="false"/>
          <w:sz w:val="22"/>
        </w:rPr>
        <w:t>AEye, Inc. Investor Relations</w:t>
      </w:r>
    </w:p>
    <w:p>
      <w:pPr>
        <w:pStyle w:val="TextBody"/>
        <w:bidi w:val="0"/>
        <w:jc w:val="left"/>
        <w:rPr>
          <w:rFonts w:ascii="Calibri;Helvetica;Sans-Serif" w:hAnsi="Calibri;Helvetica;Sans-Serif"/>
          <w:b w:val="false"/>
          <w:i w:val="false"/>
          <w:caps w:val="false"/>
          <w:smallCaps w:val="false"/>
          <w:color w:val="0000FF"/>
          <w:sz w:val="22"/>
          <w:u w:val="single"/>
        </w:rPr>
      </w:pPr>
      <w:r>
        <w:rPr>
          <w:rFonts w:ascii="Calibri;Helvetica;Sans-Serif" w:hAnsi="Calibri;Helvetica;Sans-Serif"/>
          <w:b w:val="false"/>
          <w:i w:val="false"/>
          <w:caps w:val="false"/>
          <w:smallCaps w:val="false"/>
          <w:color w:val="0000FF"/>
          <w:sz w:val="22"/>
          <w:u w:val="single"/>
        </w:rPr>
        <w:t>info@aeye.ai</w:t>
      </w:r>
    </w:p>
    <w:p>
      <w:pPr>
        <w:pStyle w:val="TextBody"/>
        <w:bidi w:val="0"/>
        <w:jc w:val="left"/>
        <w:rPr>
          <w:rFonts w:ascii="Calibri;Helvetica;Sans-Serif" w:hAnsi="Calibri;Helvetica;Sans-Serif"/>
          <w:b w:val="false"/>
          <w:i w:val="false"/>
          <w:caps w:val="false"/>
          <w:smallCaps w:val="false"/>
          <w:sz w:val="22"/>
        </w:rPr>
      </w:pPr>
      <w:r>
        <w:rPr>
          <w:rFonts w:ascii="Calibri;Helvetica;Sans-Serif" w:hAnsi="Calibri;Helvetica;Sans-Serif"/>
          <w:b w:val="false"/>
          <w:i w:val="false"/>
          <w:caps w:val="false"/>
          <w:smallCaps w:val="false"/>
          <w:sz w:val="22"/>
        </w:rPr>
        <w:t>925-400-4366</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alibri">
    <w:altName w:val="Helvetica"/>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3624</Words>
  <Characters>19834</Characters>
  <CharactersWithSpaces>23420</CharactersWithSpaces>
  <Paragraphs>1124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