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0" w:name="ea0291428-s8_aeye.htm"/>
      <w:bookmarkStart w:id="1" w:name="ksea0291428s8_aeye"/>
      <w:bookmarkEnd w:id="0"/>
      <w:bookmarkEnd w:id="1"/>
      <w:r>
        <w:rPr>
          <w:rFonts w:ascii="Times New Roman;Times;Serif" w:hAnsi="Times New Roman;Times;Serif"/>
          <w:b w:val="false"/>
          <w:i w:val="false"/>
          <w:caps w:val="false"/>
          <w:smallCaps w:val="false"/>
          <w:sz w:val="20"/>
        </w:rPr>
        <w:t>As filed with the Securities and Exchange Commission on May 19,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S-8</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UNDER 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AEYE, INC.</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020" w:type="dxa"/>
        <w:jc w:val="left"/>
        <w:tblInd w:w="0" w:type="dxa"/>
        <w:tblLayout w:type="fixed"/>
        <w:tblCellMar>
          <w:top w:w="0" w:type="dxa"/>
          <w:left w:w="0" w:type="dxa"/>
          <w:bottom w:w="28" w:type="dxa"/>
          <w:right w:w="0" w:type="dxa"/>
        </w:tblCellMar>
      </w:tblPr>
      <w:tblGrid>
        <w:gridCol w:w="3395"/>
        <w:gridCol w:w="60"/>
        <w:gridCol w:w="1565"/>
      </w:tblGrid>
      <w:tr>
        <w:trPr/>
        <w:tc>
          <w:tcPr>
            <w:tcW w:w="3395" w:type="dxa"/>
            <w:tcBorders>
              <w:bottom w:val="single" w:sz="12" w:space="0" w:color="000000"/>
            </w:tcBorders>
            <w:vAlign w:val="center"/>
          </w:tcPr>
          <w:p>
            <w:pPr>
              <w:pStyle w:val="TableContents"/>
              <w:bidi w:val="0"/>
              <w:spacing w:before="0" w:after="283"/>
              <w:jc w:val="center"/>
              <w:rPr>
                <w:b/>
                <w:sz w:val="20"/>
              </w:rPr>
            </w:pPr>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12" w:space="0" w:color="000000"/>
            </w:tcBorders>
            <w:vAlign w:val="center"/>
          </w:tcPr>
          <w:p>
            <w:pPr>
              <w:pStyle w:val="TableContents"/>
              <w:bidi w:val="0"/>
              <w:spacing w:before="0" w:after="283"/>
              <w:jc w:val="center"/>
              <w:rPr>
                <w:b/>
                <w:sz w:val="20"/>
              </w:rPr>
            </w:pPr>
            <w:r>
              <w:rPr>
                <w:b/>
                <w:sz w:val="20"/>
              </w:rPr>
              <w:t>37-1827430</w:t>
            </w:r>
          </w:p>
        </w:tc>
      </w:tr>
      <w:tr>
        <w:trPr/>
        <w:tc>
          <w:tcPr>
            <w:tcW w:w="3395" w:type="dxa"/>
            <w:tcBorders/>
            <w:tcMar>
              <w:bottom w:w="0" w:type="dxa"/>
            </w:tcMar>
            <w:vAlign w:val="center"/>
          </w:tcPr>
          <w:p>
            <w:pPr>
              <w:pStyle w:val="TableContents"/>
              <w:bidi w:val="0"/>
              <w:spacing w:before="0" w:after="283"/>
              <w:jc w:val="center"/>
              <w:rPr>
                <w:b/>
                <w:sz w:val="20"/>
              </w:rPr>
            </w:pPr>
            <w:r>
              <w:rPr>
                <w:b/>
                <w:sz w:val="20"/>
              </w:rPr>
              <w:t>(State or other jurisdiction of</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center"/>
              <w:rPr>
                <w:b/>
                <w:sz w:val="20"/>
              </w:rPr>
            </w:pPr>
            <w:r>
              <w:rPr>
                <w:b/>
                <w:sz w:val="20"/>
              </w:rPr>
              <w:t>(I.R.S. Employer</w:t>
            </w:r>
          </w:p>
        </w:tc>
      </w:tr>
      <w:tr>
        <w:trPr/>
        <w:tc>
          <w:tcPr>
            <w:tcW w:w="3395" w:type="dxa"/>
            <w:tcBorders/>
            <w:tcMar>
              <w:bottom w:w="0" w:type="dxa"/>
            </w:tcMar>
            <w:vAlign w:val="center"/>
          </w:tcPr>
          <w:p>
            <w:pPr>
              <w:pStyle w:val="TableContents"/>
              <w:bidi w:val="0"/>
              <w:spacing w:before="0" w:after="283"/>
              <w:jc w:val="center"/>
              <w:rPr>
                <w:b/>
                <w:sz w:val="20"/>
              </w:rPr>
            </w:pPr>
            <w:r>
              <w:rPr>
                <w:b/>
                <w:sz w:val="20"/>
              </w:rP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center"/>
              <w:rPr>
                <w:b/>
                <w:sz w:val="20"/>
              </w:rPr>
            </w:pPr>
            <w:r>
              <w:rPr>
                <w:b/>
                <w:sz w:val="20"/>
              </w:rPr>
              <w:t>Identification No.)</w:t>
            </w:r>
          </w:p>
        </w:tc>
      </w:tr>
      <w:tr>
        <w:trPr/>
        <w:tc>
          <w:tcPr>
            <w:tcW w:w="33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center"/>
              <w:rPr/>
            </w:pPr>
            <w:r>
              <w:rPr/>
              <w:t> </w:t>
            </w:r>
          </w:p>
        </w:tc>
      </w:tr>
      <w:tr>
        <w:trPr/>
        <w:tc>
          <w:tcPr>
            <w:tcW w:w="3395" w:type="dxa"/>
            <w:tcBorders/>
            <w:tcMar>
              <w:bottom w:w="0" w:type="dxa"/>
            </w:tcMar>
            <w:vAlign w:val="center"/>
          </w:tcPr>
          <w:p>
            <w:pPr>
              <w:pStyle w:val="TableContents"/>
              <w:bidi w:val="0"/>
              <w:spacing w:before="0" w:after="283"/>
              <w:jc w:val="center"/>
              <w:rPr>
                <w:b/>
                <w:sz w:val="20"/>
              </w:rPr>
            </w:pPr>
            <w:r>
              <w:rPr>
                <w:b/>
                <w:sz w:val="20"/>
              </w:rPr>
              <w:t>4670 Willow Road, Suite 125</w:t>
            </w:r>
          </w:p>
        </w:tc>
        <w:tc>
          <w:tcPr>
            <w:tcW w:w="60" w:type="dxa"/>
            <w:tcBorders/>
            <w:tcMar>
              <w:bottom w:w="0" w:type="dxa"/>
            </w:tcMar>
            <w:vAlign w:val="center"/>
          </w:tcPr>
          <w:p>
            <w:pPr>
              <w:pStyle w:val="TableContents"/>
              <w:bidi w:val="0"/>
              <w:spacing w:before="0" w:after="283"/>
              <w:jc w:val="center"/>
              <w:rPr/>
            </w:pPr>
            <w:r>
              <w:rPr/>
              <w:t> </w:t>
            </w:r>
          </w:p>
        </w:tc>
        <w:tc>
          <w:tcPr>
            <w:tcW w:w="1565" w:type="dxa"/>
            <w:tcBorders/>
            <w:tcMar>
              <w:bottom w:w="0" w:type="dxa"/>
            </w:tcMar>
            <w:vAlign w:val="center"/>
          </w:tcPr>
          <w:p>
            <w:pPr>
              <w:pStyle w:val="TableContents"/>
              <w:bidi w:val="0"/>
              <w:spacing w:before="0" w:after="283"/>
              <w:jc w:val="center"/>
              <w:rPr/>
            </w:pPr>
            <w:r>
              <w:rPr/>
              <w:t> </w:t>
            </w:r>
          </w:p>
        </w:tc>
      </w:tr>
      <w:tr>
        <w:trPr/>
        <w:tc>
          <w:tcPr>
            <w:tcW w:w="3395" w:type="dxa"/>
            <w:tcBorders>
              <w:bottom w:val="single" w:sz="12" w:space="0" w:color="000000"/>
            </w:tcBorders>
            <w:vAlign w:val="center"/>
          </w:tcPr>
          <w:p>
            <w:pPr>
              <w:pStyle w:val="TableContents"/>
              <w:bidi w:val="0"/>
              <w:spacing w:before="0" w:after="283"/>
              <w:jc w:val="center"/>
              <w:rPr>
                <w:b/>
                <w:sz w:val="20"/>
              </w:rPr>
            </w:pPr>
            <w:r>
              <w:rPr>
                <w:b/>
                <w:sz w:val="20"/>
              </w:rPr>
              <w:t>Pleasanton, California</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12" w:space="0" w:color="000000"/>
            </w:tcBorders>
            <w:vAlign w:val="center"/>
          </w:tcPr>
          <w:p>
            <w:pPr>
              <w:pStyle w:val="TableContents"/>
              <w:bidi w:val="0"/>
              <w:spacing w:before="0" w:after="283"/>
              <w:jc w:val="center"/>
              <w:rPr>
                <w:b/>
                <w:sz w:val="20"/>
              </w:rPr>
            </w:pPr>
            <w:r>
              <w:rPr>
                <w:b/>
                <w:sz w:val="20"/>
              </w:rPr>
              <w:t>94588</w:t>
            </w:r>
          </w:p>
        </w:tc>
      </w:tr>
      <w:tr>
        <w:trPr/>
        <w:tc>
          <w:tcPr>
            <w:tcW w:w="3395" w:type="dxa"/>
            <w:tcBorders/>
            <w:tcMar>
              <w:bottom w:w="0" w:type="dxa"/>
            </w:tcMar>
            <w:vAlign w:val="center"/>
          </w:tcPr>
          <w:p>
            <w:pPr>
              <w:pStyle w:val="TableContents"/>
              <w:bidi w:val="0"/>
              <w:spacing w:before="0" w:after="283"/>
              <w:jc w:val="center"/>
              <w:rPr>
                <w:b/>
                <w:sz w:val="20"/>
              </w:rPr>
            </w:pPr>
            <w:r>
              <w:rPr>
                <w:b/>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center"/>
              <w:rPr>
                <w:b/>
                <w:sz w:val="20"/>
              </w:rPr>
            </w:pPr>
            <w:r>
              <w:rPr>
                <w:b/>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AEye, Inc. 2021 Equity Incentive Plan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title of the plans)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Matthew Fisch</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4670 Willow Road, Suite 125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Pleasanton, California 94588</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(925) 400-4366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address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With copies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Aslam Rawoof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Zachary Dann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Benesch Friedlander Coplan &amp; Aronoff LLP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1155 Avenue of the Americas, Floor 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10036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(646) 593-7050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1985"/>
        <w:gridCol w:w="230"/>
        <w:gridCol w:w="2375"/>
        <w:gridCol w:w="245"/>
      </w:tblGrid>
      <w:tr>
        <w:trPr/>
        <w:tc>
          <w:tcPr>
            <w:tcW w:w="1985" w:type="dxa"/>
            <w:tcBorders/>
            <w:vAlign w:val="center"/>
          </w:tcPr>
          <w:p>
            <w:pPr>
              <w:pStyle w:val="TableContents"/>
              <w:bidi w:val="0"/>
              <w:spacing w:before="0" w:after="283"/>
              <w:jc w:val="left"/>
              <w:rPr>
                <w:b/>
                <w:sz w:val="20"/>
              </w:rPr>
            </w:pPr>
            <w:r>
              <w:rPr>
                <w:b/>
                <w:sz w:val="20"/>
              </w:rPr>
              <w:t>Large accelerated filer</w:t>
            </w:r>
          </w:p>
        </w:tc>
        <w:tc>
          <w:tcPr>
            <w:tcW w:w="230" w:type="dxa"/>
            <w:tcBorders/>
            <w:vAlign w:val="center"/>
          </w:tcPr>
          <w:p>
            <w:pPr>
              <w:pStyle w:val="TableContents"/>
              <w:bidi w:val="0"/>
              <w:spacing w:before="0" w:after="283"/>
              <w:jc w:val="left"/>
              <w:rPr/>
            </w:pPr>
            <w:r>
              <w:rPr/>
              <w:t>☐</w:t>
            </w:r>
          </w:p>
        </w:tc>
        <w:tc>
          <w:tcPr>
            <w:tcW w:w="2375" w:type="dxa"/>
            <w:tcBorders/>
            <w:vAlign w:val="center"/>
          </w:tcPr>
          <w:p>
            <w:pPr>
              <w:pStyle w:val="TableContents"/>
              <w:bidi w:val="0"/>
              <w:spacing w:before="0" w:after="283"/>
              <w:jc w:val="left"/>
              <w:rPr>
                <w:b/>
                <w:sz w:val="20"/>
              </w:rPr>
            </w:pPr>
            <w:r>
              <w:rPr>
                <w:b/>
                <w:sz w:val="20"/>
              </w:rPr>
              <w:t xml:space="preserve">Accelerated filer </w:t>
            </w:r>
          </w:p>
        </w:tc>
        <w:tc>
          <w:tcPr>
            <w:tcW w:w="245" w:type="dxa"/>
            <w:tcBorders/>
            <w:vAlign w:val="center"/>
          </w:tcPr>
          <w:p>
            <w:pPr>
              <w:pStyle w:val="TableContents"/>
              <w:bidi w:val="0"/>
              <w:spacing w:before="0" w:after="283"/>
              <w:jc w:val="left"/>
              <w:rPr/>
            </w:pPr>
            <w:r>
              <w:rPr/>
              <w:t>☐</w:t>
            </w:r>
          </w:p>
        </w:tc>
      </w:tr>
      <w:tr>
        <w:trPr/>
        <w:tc>
          <w:tcPr>
            <w:tcW w:w="1985" w:type="dxa"/>
            <w:tcBorders/>
            <w:vAlign w:val="center"/>
          </w:tcPr>
          <w:p>
            <w:pPr>
              <w:pStyle w:val="TableContents"/>
              <w:bidi w:val="0"/>
              <w:spacing w:before="0" w:after="283"/>
              <w:jc w:val="left"/>
              <w:rPr>
                <w:b/>
                <w:sz w:val="20"/>
              </w:rPr>
            </w:pPr>
            <w:r>
              <w:rPr>
                <w:b/>
                <w:sz w:val="20"/>
              </w:rPr>
              <w:t>Non-accelerated filer</w:t>
            </w:r>
          </w:p>
        </w:tc>
        <w:tc>
          <w:tcPr>
            <w:tcW w:w="230" w:type="dxa"/>
            <w:tcBorders/>
            <w:vAlign w:val="center"/>
          </w:tcPr>
          <w:p>
            <w:pPr>
              <w:pStyle w:val="TableContents"/>
              <w:bidi w:val="0"/>
              <w:spacing w:before="0" w:after="283"/>
              <w:jc w:val="left"/>
              <w:rPr/>
            </w:pPr>
            <w:r>
              <w:rPr/>
              <w:t>☒</w:t>
            </w:r>
          </w:p>
        </w:tc>
        <w:tc>
          <w:tcPr>
            <w:tcW w:w="2375" w:type="dxa"/>
            <w:tcBorders/>
            <w:vAlign w:val="center"/>
          </w:tcPr>
          <w:p>
            <w:pPr>
              <w:pStyle w:val="TableContents"/>
              <w:bidi w:val="0"/>
              <w:spacing w:before="0" w:after="283"/>
              <w:jc w:val="left"/>
              <w:rPr>
                <w:b/>
                <w:sz w:val="20"/>
              </w:rPr>
            </w:pPr>
            <w:r>
              <w:rPr>
                <w:b/>
                <w:sz w:val="20"/>
              </w:rPr>
              <w:t>Smaller reporting company</w:t>
            </w:r>
          </w:p>
        </w:tc>
        <w:tc>
          <w:tcPr>
            <w:tcW w:w="245" w:type="dxa"/>
            <w:tcBorders/>
            <w:vAlign w:val="center"/>
          </w:tcPr>
          <w:p>
            <w:pPr>
              <w:pStyle w:val="TableContents"/>
              <w:bidi w:val="0"/>
              <w:spacing w:before="0" w:after="283"/>
              <w:jc w:val="left"/>
              <w:rPr/>
            </w:pPr>
            <w:r>
              <w:rPr/>
              <w:t>☒</w:t>
            </w:r>
          </w:p>
        </w:tc>
      </w:tr>
      <w:tr>
        <w:trPr/>
        <w:tc>
          <w:tcPr>
            <w:tcW w:w="1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b/>
                <w:sz w:val="20"/>
              </w:rPr>
            </w:pPr>
            <w:r>
              <w:rPr>
                <w:b/>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General Instruction E to Form S-8, AEye, Inc. (the “Registrant”) is filing this Registration Statement on Form S-8 (this “Registration Statement”) with the United States Securities and Exchange Commission (the “Commission”) to register 6,750,000 additional shares of the Registrant’s common stock, par value of $0.0001 per share (the “Common Stock”),  that may be issued under the Registrant’s Amended and Restated 2021 Equity Incentive Plan (the “2021 EIP”) following the amendment and restatement to the 2021 EIP to increase the number of shares issuable under the 2021 EIP that was approved by the Registrant’s stockholders on, and became effective as of, May 12,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Times;Serif" w:hAnsi="Times New Roman;Times;Serif"/>
          <w:b w:val="false"/>
          <w:i w:val="false"/>
          <w:caps w:val="false"/>
          <w:smallCaps w:val="false"/>
          <w:sz w:val="20"/>
        </w:rPr>
        <w:t xml:space="preserve">The contents of the Registrant’s Registration Statements on Form S-8 (File Nos. </w:t>
      </w:r>
      <w:hyperlink r:id="rId2">
        <w:r>
          <w:rPr>
            <w:rStyle w:val="InternetLink"/>
            <w:rFonts w:ascii="Times New Roman;Times;Serif" w:hAnsi="Times New Roman;Times;Serif"/>
            <w:b w:val="false"/>
            <w:i w:val="false"/>
            <w:caps w:val="false"/>
            <w:smallCaps w:val="false"/>
            <w:sz w:val="20"/>
          </w:rPr>
          <w:t>333-292659</w:t>
        </w:r>
      </w:hyperlink>
      <w:r>
        <w:rPr>
          <w:rFonts w:ascii="Times New Roman;Times;Serif" w:hAnsi="Times New Roman;Times;Serif"/>
          <w:b w:val="false"/>
          <w:i w:val="false"/>
          <w:caps w:val="false"/>
          <w:smallCaps w:val="false"/>
          <w:sz w:val="20"/>
        </w:rPr>
        <w:t xml:space="preserve">, </w:t>
      </w:r>
      <w:hyperlink r:id="rId3">
        <w:r>
          <w:rPr>
            <w:rStyle w:val="InternetLink"/>
            <w:rFonts w:ascii="Times New Roman;Times;Serif" w:hAnsi="Times New Roman;Times;Serif"/>
            <w:b w:val="false"/>
            <w:i w:val="false"/>
            <w:caps w:val="false"/>
            <w:smallCaps w:val="false"/>
            <w:sz w:val="20"/>
          </w:rPr>
          <w:t>333-286365</w:t>
        </w:r>
      </w:hyperlink>
      <w:r>
        <w:rPr>
          <w:rFonts w:ascii="Times New Roman;Times;Serif" w:hAnsi="Times New Roman;Times;Serif"/>
          <w:b w:val="false"/>
          <w:i w:val="false"/>
          <w:caps w:val="false"/>
          <w:smallCaps w:val="false"/>
          <w:sz w:val="20"/>
        </w:rPr>
        <w:t xml:space="preserve">, </w:t>
      </w:r>
      <w:hyperlink r:id="rId4">
        <w:r>
          <w:rPr>
            <w:rStyle w:val="InternetLink"/>
            <w:rFonts w:ascii="Times New Roman;Times;Serif" w:hAnsi="Times New Roman;Times;Serif"/>
            <w:b w:val="false"/>
            <w:i w:val="false"/>
            <w:caps w:val="false"/>
            <w:smallCaps w:val="false"/>
            <w:sz w:val="20"/>
          </w:rPr>
          <w:t>333-280309</w:t>
        </w:r>
      </w:hyperlink>
      <w:r>
        <w:rPr>
          <w:rFonts w:ascii="Times New Roman;Times;Serif" w:hAnsi="Times New Roman;Times;Serif"/>
          <w:b w:val="false"/>
          <w:i w:val="false"/>
          <w:caps w:val="false"/>
          <w:smallCaps w:val="false"/>
          <w:sz w:val="20"/>
        </w:rPr>
        <w:t xml:space="preserve">, </w:t>
      </w:r>
      <w:hyperlink r:id="rId5">
        <w:r>
          <w:rPr>
            <w:rStyle w:val="InternetLink"/>
            <w:rFonts w:ascii="Times New Roman;Times;Serif" w:hAnsi="Times New Roman;Times;Serif"/>
            <w:b w:val="false"/>
            <w:i w:val="false"/>
            <w:caps w:val="false"/>
            <w:smallCaps w:val="false"/>
            <w:sz w:val="20"/>
          </w:rPr>
          <w:t>333-272570</w:t>
        </w:r>
      </w:hyperlink>
      <w:r>
        <w:rPr>
          <w:rFonts w:ascii="Times New Roman;Times;Serif" w:hAnsi="Times New Roman;Times;Serif"/>
          <w:b w:val="false"/>
          <w:i w:val="false"/>
          <w:caps w:val="false"/>
          <w:smallCaps w:val="false"/>
          <w:sz w:val="20"/>
        </w:rPr>
        <w:t xml:space="preserve">, </w:t>
      </w:r>
      <w:hyperlink r:id="rId6">
        <w:r>
          <w:rPr>
            <w:rStyle w:val="InternetLink"/>
            <w:rFonts w:ascii="Times New Roman;Times;Serif" w:hAnsi="Times New Roman;Times;Serif"/>
            <w:b w:val="false"/>
            <w:i w:val="false"/>
            <w:caps w:val="false"/>
            <w:smallCaps w:val="false"/>
            <w:sz w:val="20"/>
          </w:rPr>
          <w:t>333-270731</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333-265064</w:t>
        </w:r>
      </w:hyperlink>
      <w:r>
        <w:rPr>
          <w:rFonts w:ascii="Times New Roman;Times;Serif" w:hAnsi="Times New Roman;Times;Serif"/>
          <w:b w:val="false"/>
          <w:i w:val="false"/>
          <w:caps w:val="false"/>
          <w:smallCaps w:val="false"/>
          <w:sz w:val="20"/>
        </w:rPr>
        <w:t xml:space="preserve"> and </w:t>
      </w:r>
      <w:hyperlink r:id="rId8">
        <w:r>
          <w:rPr>
            <w:rStyle w:val="InternetLink"/>
            <w:rFonts w:ascii="Times New Roman;Times;Serif" w:hAnsi="Times New Roman;Times;Serif"/>
            <w:b w:val="false"/>
            <w:i w:val="false"/>
            <w:caps w:val="false"/>
            <w:smallCaps w:val="false"/>
            <w:sz w:val="20"/>
          </w:rPr>
          <w:t>333-260601</w:t>
        </w:r>
      </w:hyperlink>
      <w:r>
        <w:rPr>
          <w:rFonts w:ascii="Times New Roman;Times;Serif" w:hAnsi="Times New Roman;Times;Serif"/>
          <w:b w:val="false"/>
          <w:i w:val="false"/>
          <w:caps w:val="false"/>
          <w:smallCaps w:val="false"/>
          <w:sz w:val="20"/>
        </w:rPr>
        <w:t>) filed with the Commission on January 9, 2026, April 3, 2025, June 18, 2024, June 9, 2023, March 22, 2023, May 19, 2022 and October 29, 2021 relating to the 2021 EIP are incorporated by reference into this Registration Statement, except to the extent supplemented, amended or superseded by the information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SECTION 10(a)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required by Part I to be contained in the Section 10(a) prospectus is omitted from this Registration Statement in accordance with Rule 428 under the Securities Act and the “Note” to Part I of Form S-8. The documents containing the information specified in Part I will be delivered to the participants in the 2021 EIP as required by Rule 428(b)(1)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Incorporation of Documents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previously filed by the Registrant with the Commission are incorporated by reference in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Times;Serif" w:hAnsi="Times New Roman;Times;Serif"/>
          <w:b w:val="false"/>
          <w:i w:val="false"/>
          <w:caps w:val="false"/>
          <w:smallCaps w:val="false"/>
          <w:sz w:val="20"/>
        </w:rPr>
        <w:t xml:space="preserve">(a) The Registrant’s Annual Report on </w:t>
      </w:r>
      <w:hyperlink r:id="rId9">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fiscal year ended December 31, 2025, filed with the Commission on March 18, 2026, which includes audited financial statements for the Registrant’s latest fiscal year and the description of the shares of Common Stock contained in </w:t>
      </w:r>
      <w:hyperlink r:id="rId10">
        <w:r>
          <w:rPr>
            <w:rStyle w:val="InternetLink"/>
            <w:rFonts w:ascii="Times New Roman;Times;Serif" w:hAnsi="Times New Roman;Times;Serif"/>
            <w:b w:val="false"/>
            <w:i w:val="false"/>
            <w:caps w:val="false"/>
            <w:smallCaps w:val="false"/>
            <w:sz w:val="20"/>
          </w:rPr>
          <w:t>Exhibit 4.8</w:t>
        </w:r>
      </w:hyperlink>
      <w:r>
        <w:rPr>
          <w:rFonts w:ascii="Times New Roman;Times;Serif" w:hAnsi="Times New Roman;Times;Serif"/>
          <w:b w:val="false"/>
          <w:i w:val="false"/>
          <w:caps w:val="false"/>
          <w:smallCaps w:val="false"/>
          <w:sz w:val="20"/>
        </w:rPr>
        <w:t xml:space="preserve"> thereto, including any amendment or reports filed for the purpose of updating such description;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Times;Serif" w:hAnsi="Times New Roman;Times;Serif"/>
          <w:b w:val="false"/>
          <w:i w:val="false"/>
          <w:caps w:val="false"/>
          <w:smallCaps w:val="false"/>
          <w:sz w:val="20"/>
        </w:rPr>
        <w:t xml:space="preserve">(b) The Registrant’s Quarterly Report on </w:t>
      </w:r>
      <w:hyperlink r:id="rId11">
        <w:r>
          <w:rPr>
            <w:rStyle w:val="InternetLink"/>
            <w:rFonts w:ascii="Times New Roman;Times;Serif" w:hAnsi="Times New Roman;Times;Serif"/>
            <w:b w:val="false"/>
            <w:i w:val="false"/>
            <w:caps w:val="false"/>
            <w:smallCaps w:val="false"/>
            <w:sz w:val="20"/>
          </w:rPr>
          <w:t>Form 10-Q</w:t>
        </w:r>
      </w:hyperlink>
      <w:r>
        <w:rPr>
          <w:rFonts w:ascii="Times New Roman;Times;Serif" w:hAnsi="Times New Roman;Times;Serif"/>
          <w:b w:val="false"/>
          <w:i w:val="false"/>
          <w:caps w:val="false"/>
          <w:smallCaps w:val="false"/>
          <w:sz w:val="20"/>
        </w:rPr>
        <w:t xml:space="preserve"> for the fiscal quarter ended March 31, 2026, filed with the Commission on May 14,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Times;Serif" w:hAnsi="Times New Roman;Times;Serif"/>
          <w:b w:val="false"/>
          <w:i w:val="false"/>
          <w:caps w:val="false"/>
          <w:smallCaps w:val="false"/>
          <w:sz w:val="20"/>
        </w:rPr>
        <w:t xml:space="preserve">(c) The Registrant’s Current Reports on Form 8-K, filed with the Commission on </w:t>
      </w:r>
      <w:hyperlink r:id="rId12">
        <w:r>
          <w:rPr>
            <w:rStyle w:val="InternetLink"/>
            <w:rFonts w:ascii="Times New Roman;Times;Serif" w:hAnsi="Times New Roman;Times;Serif"/>
            <w:b w:val="false"/>
            <w:i w:val="false"/>
            <w:caps w:val="false"/>
            <w:smallCaps w:val="false"/>
            <w:sz w:val="20"/>
          </w:rPr>
          <w:t>February 11, 2026</w:t>
        </w:r>
      </w:hyperlink>
      <w:r>
        <w:rPr>
          <w:rFonts w:ascii="Times New Roman;Times;Serif" w:hAnsi="Times New Roman;Times;Serif"/>
          <w:b w:val="false"/>
          <w:i w:val="false"/>
          <w:caps w:val="false"/>
          <w:smallCaps w:val="false"/>
          <w:sz w:val="20"/>
        </w:rPr>
        <w:t xml:space="preserve">, </w:t>
      </w:r>
      <w:hyperlink r:id="rId13">
        <w:r>
          <w:rPr>
            <w:rStyle w:val="InternetLink"/>
            <w:rFonts w:ascii="Times New Roman;Times;Serif" w:hAnsi="Times New Roman;Times;Serif"/>
            <w:b w:val="false"/>
            <w:i w:val="false"/>
            <w:caps w:val="false"/>
            <w:smallCaps w:val="false"/>
            <w:sz w:val="20"/>
          </w:rPr>
          <w:t>March 16, 2026</w:t>
        </w:r>
      </w:hyperlink>
      <w:r>
        <w:rPr>
          <w:rFonts w:ascii="Times New Roman;Times;Serif" w:hAnsi="Times New Roman;Times;Serif"/>
          <w:b w:val="false"/>
          <w:i w:val="false"/>
          <w:caps w:val="false"/>
          <w:smallCaps w:val="false"/>
          <w:sz w:val="20"/>
        </w:rPr>
        <w:t xml:space="preserve">, </w:t>
      </w:r>
      <w:hyperlink r:id="rId14">
        <w:r>
          <w:rPr>
            <w:rStyle w:val="InternetLink"/>
            <w:rFonts w:ascii="Times New Roman;Times;Serif" w:hAnsi="Times New Roman;Times;Serif"/>
            <w:b w:val="false"/>
            <w:i w:val="false"/>
            <w:caps w:val="false"/>
            <w:smallCaps w:val="false"/>
            <w:sz w:val="20"/>
          </w:rPr>
          <w:t>May 6, 2026</w:t>
        </w:r>
      </w:hyperlink>
      <w:r>
        <w:rPr>
          <w:rFonts w:ascii="Times New Roman;Times;Serif" w:hAnsi="Times New Roman;Times;Serif"/>
          <w:b w:val="false"/>
          <w:i w:val="false"/>
          <w:caps w:val="false"/>
          <w:smallCaps w:val="false"/>
          <w:sz w:val="20"/>
        </w:rPr>
        <w:t xml:space="preserve">, </w:t>
      </w:r>
      <w:hyperlink r:id="rId15">
        <w:r>
          <w:rPr>
            <w:rStyle w:val="InternetLink"/>
            <w:rFonts w:ascii="Times New Roman;Times;Serif" w:hAnsi="Times New Roman;Times;Serif"/>
            <w:b w:val="false"/>
            <w:i w:val="false"/>
            <w:caps w:val="false"/>
            <w:smallCaps w:val="false"/>
            <w:sz w:val="20"/>
          </w:rPr>
          <w:t>May 12, 2026</w:t>
        </w:r>
      </w:hyperlink>
      <w:r>
        <w:rPr>
          <w:rFonts w:ascii="Times New Roman;Times;Serif" w:hAnsi="Times New Roman;Times;Serif"/>
          <w:b w:val="false"/>
          <w:i w:val="false"/>
          <w:caps w:val="false"/>
          <w:smallCaps w:val="false"/>
          <w:sz w:val="20"/>
        </w:rPr>
        <w:t xml:space="preserve"> and </w:t>
      </w:r>
      <w:hyperlink r:id="rId16">
        <w:r>
          <w:rPr>
            <w:rStyle w:val="InternetLink"/>
            <w:rFonts w:ascii="Times New Roman;Times;Serif" w:hAnsi="Times New Roman;Times;Serif"/>
            <w:b w:val="false"/>
            <w:i w:val="false"/>
            <w:caps w:val="false"/>
            <w:smallCaps w:val="false"/>
            <w:sz w:val="20"/>
          </w:rPr>
          <w:t>May 15, 2026</w:t>
        </w:r>
      </w:hyperlink>
      <w:r>
        <w:rPr>
          <w:rFonts w:ascii="Times New Roman;Times;Serif" w:hAnsi="Times New Roman;Times;Serif"/>
          <w:b w:val="false"/>
          <w:i w:val="false"/>
          <w:caps w:val="false"/>
          <w:smallCaps w:val="false"/>
          <w:sz w:val="20"/>
        </w:rPr>
        <w:t xml:space="preserve"> (excluding any portions of such reports deemed to have been furnished under Item 2.02 or Item 7.01 and any exhibits included with such Items);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other reports filed by the Registrant pursuant to Section 13(a) or 15(d) of the Securities Exchange Act of 1934, as amended (the “Exchange Act”), since the end of the fiscal year covered by the audited financial statements described in (a) above (other than portions of the Registrant’s Current Reports on Form 8-K that are furnished or otherwise not deemed to be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subsequently filed by the Registrant pursuant to Sections 13(a), 13(c), 14 and 15(d) of the Exchange Act, prior to the filing of a post-effective amendment to this Registration Statement which indicates that all of the shares of Common Stock offered have been sold or which deregisters all of such shares then remaining unsold, shall be deemed to be incorporated by reference in this Registration Statement and to be a part hereof from the date of the filing of such documents, except as to any portion of any future annual or quarterly report to stockholders or document that is not deemed filed under such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Registration Statement, any statement contained in a document incorporated or deemed to be incorporated by reference herein shall be deemed to be modified or superseded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 Description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 Interests of Named Experts and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102(b)(7) of the Delaware General Corporation Law (“DGCL”) provides that a corporation’s certificate of incorporation may contain a provision eliminating or limiting the personal liability of a director or an officer to the corporation or its stockholders for monetary damages for breach of fiduciary duty as a director or an officer, provided that such provision shall not eliminate or limit the liability of a director or an officer (i) for any breach of the director’s or officer’s duty of loyalty to the corporation or its stockholders, (ii) for acts or omissions not in good faith or which involve intentional misconduct or a knowing violation of law, (iii) under Section 174 of the DGCL, or (iv) for any transaction from which the director or officer derived an improper personal benefit, and provided further that such provision shall not eliminate or limit the liability of an officer in any action by or in the right of the corporation. The Registrant’s Second Amended and Restated Certificate of Incorporation, as amended by the Certificate of Amendment filed with the State of Delaware on May 9, 2023 (the “Amended Charter”), provides that no director or officer of the Registrant shall be personally liable to it or its stockholders for monetary damages for any breach of fiduciary duty as a director or an officer, notwithstanding any provision of law imposing such liability, except to the extent that the DGCL prohibits the elimination or limitation of liability of directors or officers, as applicable, for breaches of fiduciary duty.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DGCL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Charter and the Amended and Restated Bylaws of the Registrant provide that the Registrant will indemnify each person who was or is a party or threatened to be made a party to any threatened, pending or completed action, suit or proceeding, whether civil, criminal, administrative or investigative (other than an action by or in the right of the Registrant), by reason of the fact that he or she is or was, or has agreed to become, a director or officer, or is or was serving, or has agreed to serve, at the Registrant’s request as a director, officer, employee or agent of another corporation or of a partnership, joint venture, trust, other enterprise or nonprofit entity, including service with respect to an employee benefit plan (all such persons being referred to as an “Indemnitee”),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ERISA excise taxes and penalties and amounts paid in settlement) reasonably incurred by such Indemnitee in connection with such proceeding. Expenses must be advanced to an Indemnitee under certain circumstances.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has entered into indemnification agreements with each of its directors and officers. These indemnification agreements may require the Registrant, among other things, to indemnify its directors and officers for some expenses, including attorneys’ fees, judgments, fines and settlement amounts incurred by a director or officer in any action or proceeding arising out of his or her service as one of the Registrant’s directors or officers, or any of its subsidiaries or any other company or enterprise to which the person provides services at the Registrant’s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maintains a general liability insurance policy that covers certain liabilities of directors and officers of the Registrant’s corporation arising out of claims based on acts or omissions in their capacities as directors or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 Exemption from Registration Claimed.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
        <w:gridCol w:w="60"/>
        <w:gridCol w:w="6354"/>
        <w:gridCol w:w="60"/>
        <w:gridCol w:w="512"/>
        <w:gridCol w:w="61"/>
        <w:gridCol w:w="767"/>
        <w:gridCol w:w="61"/>
        <w:gridCol w:w="727"/>
        <w:gridCol w:w="60"/>
        <w:gridCol w:w="818"/>
      </w:tblGrid>
      <w:tr>
        <w:trPr/>
        <w:tc>
          <w:tcPr>
            <w:tcW w:w="725" w:type="dxa"/>
            <w:tcBorders/>
            <w:vAlign w:val="center"/>
          </w:tcPr>
          <w:p>
            <w:pPr>
              <w:pStyle w:val="TableContents"/>
              <w:bidi w:val="0"/>
              <w:spacing w:before="0" w:after="283"/>
              <w:jc w:val="left"/>
              <w:rPr>
                <w:b/>
                <w:sz w:val="20"/>
              </w:rPr>
            </w:pPr>
            <w:r>
              <w:rPr>
                <w:b/>
                <w:sz w:val="20"/>
              </w:rPr>
              <w:t>Exhibit</w:t>
            </w:r>
          </w:p>
        </w:tc>
        <w:tc>
          <w:tcPr>
            <w:tcW w:w="60" w:type="dxa"/>
            <w:tcBorders/>
            <w:vAlign w:val="center"/>
          </w:tcPr>
          <w:p>
            <w:pPr>
              <w:pStyle w:val="TableContents"/>
              <w:bidi w:val="0"/>
              <w:spacing w:before="0" w:after="283"/>
              <w:jc w:val="left"/>
              <w:rPr/>
            </w:pPr>
            <w:r>
              <w:rPr/>
              <w:t> </w:t>
            </w:r>
          </w:p>
        </w:tc>
        <w:tc>
          <w:tcPr>
            <w:tcW w:w="63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8" w:type="dxa"/>
            <w:gridSpan w:val="5"/>
            <w:tcBorders>
              <w:bottom w:val="single" w:sz="12" w:space="0" w:color="000000"/>
            </w:tcBorders>
            <w:tcMar>
              <w:bottom w:w="28" w:type="dxa"/>
            </w:tcMar>
            <w:vAlign w:val="center"/>
          </w:tcPr>
          <w:p>
            <w:pPr>
              <w:pStyle w:val="TableContents"/>
              <w:bidi w:val="0"/>
              <w:spacing w:before="0" w:after="283"/>
              <w:jc w:val="center"/>
              <w:rPr>
                <w:b/>
                <w:sz w:val="20"/>
              </w:rPr>
            </w:pPr>
            <w:r>
              <w:rPr>
                <w:b/>
                <w:sz w:val="20"/>
              </w:rPr>
              <w:t>Incorporated by Reference</w:t>
            </w:r>
          </w:p>
        </w:tc>
        <w:tc>
          <w:tcPr>
            <w:tcW w:w="60" w:type="dxa"/>
            <w:tcBorders/>
            <w:vAlign w:val="center"/>
          </w:tcPr>
          <w:p>
            <w:pPr>
              <w:pStyle w:val="TableContents"/>
              <w:bidi w:val="0"/>
              <w:spacing w:before="0" w:after="283"/>
              <w:jc w:val="left"/>
              <w:rPr/>
            </w:pPr>
            <w:r>
              <w:rPr/>
              <w:t> </w:t>
            </w:r>
          </w:p>
        </w:tc>
        <w:tc>
          <w:tcPr>
            <w:tcW w:w="818" w:type="dxa"/>
            <w:tcBorders/>
            <w:vAlign w:val="center"/>
          </w:tcPr>
          <w:p>
            <w:pPr>
              <w:pStyle w:val="TableContents"/>
              <w:bidi w:val="0"/>
              <w:spacing w:before="0" w:after="283"/>
              <w:jc w:val="center"/>
              <w:rPr>
                <w:b/>
                <w:sz w:val="20"/>
              </w:rPr>
            </w:pPr>
            <w:r>
              <w:rPr>
                <w:b/>
                <w:sz w:val="20"/>
              </w:rPr>
              <w:t>Filed</w:t>
            </w:r>
          </w:p>
        </w:tc>
      </w:tr>
      <w:tr>
        <w:trPr/>
        <w:tc>
          <w:tcPr>
            <w:tcW w:w="725" w:type="dxa"/>
            <w:tcBorders>
              <w:bottom w:val="single" w:sz="12" w:space="0" w:color="000000"/>
            </w:tcBorders>
            <w:tcMar>
              <w:bottom w:w="28" w:type="dxa"/>
            </w:tcMar>
            <w:vAlign w:val="center"/>
          </w:tcPr>
          <w:p>
            <w:pPr>
              <w:pStyle w:val="TableContents"/>
              <w:bidi w:val="0"/>
              <w:spacing w:before="0" w:after="283"/>
              <w:jc w:val="left"/>
              <w:rPr>
                <w:b/>
                <w:sz w:val="20"/>
              </w:rPr>
            </w:pPr>
            <w:r>
              <w:rPr>
                <w:b/>
                <w:sz w:val="20"/>
              </w:rPr>
              <w:t>Number</w:t>
            </w:r>
          </w:p>
        </w:tc>
        <w:tc>
          <w:tcPr>
            <w:tcW w:w="60" w:type="dxa"/>
            <w:tcBorders/>
            <w:vAlign w:val="center"/>
          </w:tcPr>
          <w:p>
            <w:pPr>
              <w:pStyle w:val="TableContents"/>
              <w:bidi w:val="0"/>
              <w:spacing w:before="0" w:after="283"/>
              <w:jc w:val="left"/>
              <w:rPr/>
            </w:pPr>
            <w:r>
              <w:rPr/>
              <w:t> </w:t>
            </w:r>
          </w:p>
        </w:tc>
        <w:tc>
          <w:tcPr>
            <w:tcW w:w="6354"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Exhibit Description</w:t>
            </w:r>
          </w:p>
        </w:tc>
        <w:tc>
          <w:tcPr>
            <w:tcW w:w="60" w:type="dxa"/>
            <w:tcBorders/>
            <w:vAlign w:val="center"/>
          </w:tcPr>
          <w:p>
            <w:pPr>
              <w:pStyle w:val="TableContents"/>
              <w:bidi w:val="0"/>
              <w:spacing w:before="0" w:after="283"/>
              <w:jc w:val="left"/>
              <w:rPr/>
            </w:pPr>
            <w:r>
              <w:rPr/>
              <w:t> </w:t>
            </w:r>
          </w:p>
        </w:tc>
        <w:tc>
          <w:tcPr>
            <w:tcW w:w="512"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Form</w:t>
            </w:r>
          </w:p>
        </w:tc>
        <w:tc>
          <w:tcPr>
            <w:tcW w:w="61" w:type="dxa"/>
            <w:tcBorders/>
            <w:vAlign w:val="center"/>
          </w:tcPr>
          <w:p>
            <w:pPr>
              <w:pStyle w:val="TableContents"/>
              <w:bidi w:val="0"/>
              <w:spacing w:before="0" w:after="283"/>
              <w:jc w:val="center"/>
              <w:rPr/>
            </w:pPr>
            <w:r>
              <w:rPr/>
              <w:t> </w:t>
            </w:r>
          </w:p>
        </w:tc>
        <w:tc>
          <w:tcPr>
            <w:tcW w:w="767"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Date</w:t>
            </w:r>
          </w:p>
        </w:tc>
        <w:tc>
          <w:tcPr>
            <w:tcW w:w="61" w:type="dxa"/>
            <w:tcBorders/>
            <w:vAlign w:val="center"/>
          </w:tcPr>
          <w:p>
            <w:pPr>
              <w:pStyle w:val="TableContents"/>
              <w:bidi w:val="0"/>
              <w:spacing w:before="0" w:after="283"/>
              <w:jc w:val="center"/>
              <w:rPr/>
            </w:pPr>
            <w:r>
              <w:rPr/>
              <w:t> </w:t>
            </w:r>
          </w:p>
        </w:tc>
        <w:tc>
          <w:tcPr>
            <w:tcW w:w="727"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Number</w:t>
            </w:r>
          </w:p>
        </w:tc>
        <w:tc>
          <w:tcPr>
            <w:tcW w:w="60" w:type="dxa"/>
            <w:tcBorders/>
            <w:vAlign w:val="center"/>
          </w:tcPr>
          <w:p>
            <w:pPr>
              <w:pStyle w:val="TableContents"/>
              <w:bidi w:val="0"/>
              <w:spacing w:before="0" w:after="283"/>
              <w:jc w:val="left"/>
              <w:rPr/>
            </w:pPr>
            <w:r>
              <w:rPr/>
              <w:t> </w:t>
            </w:r>
          </w:p>
        </w:tc>
        <w:tc>
          <w:tcPr>
            <w:tcW w:w="818"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Herewith</w:t>
            </w:r>
          </w:p>
        </w:tc>
      </w:tr>
      <w:tr>
        <w:trPr/>
        <w:tc>
          <w:tcPr>
            <w:tcW w:w="725" w:type="dxa"/>
            <w:tcBorders/>
            <w:shd w:fill="CCEEFF" w:val="clear"/>
            <w:vAlign w:val="center"/>
          </w:tcPr>
          <w:p>
            <w:pPr>
              <w:pStyle w:val="TableContents"/>
              <w:bidi w:val="0"/>
              <w:spacing w:before="0" w:after="283"/>
              <w:jc w:val="left"/>
              <w:rPr>
                <w:sz w:val="20"/>
              </w:rPr>
            </w:pPr>
            <w:r>
              <w:rPr>
                <w:sz w:val="20"/>
              </w:rPr>
              <w:t>4.1</w:t>
            </w:r>
          </w:p>
        </w:tc>
        <w:tc>
          <w:tcPr>
            <w:tcW w:w="60" w:type="dxa"/>
            <w:tcBorders/>
            <w:shd w:fill="CCEEFF" w:val="clear"/>
            <w:vAlign w:val="center"/>
          </w:tcPr>
          <w:p>
            <w:pPr>
              <w:pStyle w:val="TableContents"/>
              <w:bidi w:val="0"/>
              <w:spacing w:before="0" w:after="283"/>
              <w:jc w:val="left"/>
              <w:rPr/>
            </w:pPr>
            <w:r>
              <w:rPr/>
              <w:t> </w:t>
            </w:r>
          </w:p>
        </w:tc>
        <w:tc>
          <w:tcPr>
            <w:tcW w:w="6354" w:type="dxa"/>
            <w:tcBorders/>
            <w:shd w:fill="CCEEFF" w:val="clear"/>
            <w:vAlign w:val="center"/>
          </w:tcPr>
          <w:p>
            <w:pPr>
              <w:pStyle w:val="TableContents"/>
              <w:bidi w:val="0"/>
              <w:spacing w:before="0" w:after="283"/>
              <w:jc w:val="left"/>
              <w:rPr/>
            </w:pPr>
            <w:hyperlink r:id="rId17">
              <w:r>
                <w:rPr>
                  <w:rStyle w:val="InternetLink"/>
                  <w:sz w:val="20"/>
                </w:rPr>
                <w:t>Second Amended and Restated Certificate of Incorporation of AEye, Inc.</w:t>
              </w:r>
            </w:hyperlink>
          </w:p>
        </w:tc>
        <w:tc>
          <w:tcPr>
            <w:tcW w:w="60"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center"/>
              <w:rPr>
                <w:sz w:val="20"/>
              </w:rPr>
            </w:pPr>
            <w:r>
              <w:rPr>
                <w:sz w:val="20"/>
              </w:rPr>
              <w:t>8-K</w:t>
            </w:r>
          </w:p>
        </w:tc>
        <w:tc>
          <w:tcPr>
            <w:tcW w:w="61" w:type="dxa"/>
            <w:tcBorders/>
            <w:shd w:fill="CCEEFF" w:val="clear"/>
            <w:vAlign w:val="center"/>
          </w:tcPr>
          <w:p>
            <w:pPr>
              <w:pStyle w:val="TableContents"/>
              <w:bidi w:val="0"/>
              <w:spacing w:before="0" w:after="283"/>
              <w:jc w:val="center"/>
              <w:rPr/>
            </w:pPr>
            <w:r>
              <w:rPr/>
              <w:t> </w:t>
            </w:r>
          </w:p>
        </w:tc>
        <w:tc>
          <w:tcPr>
            <w:tcW w:w="767" w:type="dxa"/>
            <w:tcBorders/>
            <w:shd w:fill="CCEEFF" w:val="clear"/>
            <w:vAlign w:val="center"/>
          </w:tcPr>
          <w:p>
            <w:pPr>
              <w:pStyle w:val="TableContents"/>
              <w:bidi w:val="0"/>
              <w:spacing w:before="0" w:after="283"/>
              <w:jc w:val="center"/>
              <w:rPr>
                <w:sz w:val="20"/>
              </w:rPr>
            </w:pPr>
            <w:r>
              <w:rPr>
                <w:sz w:val="20"/>
              </w:rPr>
              <w:t>8/23/2021</w:t>
            </w:r>
          </w:p>
        </w:tc>
        <w:tc>
          <w:tcPr>
            <w:tcW w:w="61" w:type="dxa"/>
            <w:tcBorders/>
            <w:shd w:fill="CCEEFF" w:val="clear"/>
            <w:vAlign w:val="center"/>
          </w:tcPr>
          <w:p>
            <w:pPr>
              <w:pStyle w:val="TableContents"/>
              <w:bidi w:val="0"/>
              <w:spacing w:before="0" w:after="283"/>
              <w:jc w:val="center"/>
              <w:rPr/>
            </w:pPr>
            <w:r>
              <w:rPr/>
              <w:t> </w:t>
            </w:r>
          </w:p>
        </w:tc>
        <w:tc>
          <w:tcPr>
            <w:tcW w:w="727" w:type="dxa"/>
            <w:tcBorders/>
            <w:shd w:fill="CCEEFF" w:val="clear"/>
            <w:vAlign w:val="center"/>
          </w:tcPr>
          <w:p>
            <w:pPr>
              <w:pStyle w:val="TableContents"/>
              <w:bidi w:val="0"/>
              <w:spacing w:before="0" w:after="283"/>
              <w:jc w:val="center"/>
              <w:rPr>
                <w:sz w:val="20"/>
              </w:rPr>
            </w:pPr>
            <w:r>
              <w:rPr>
                <w:sz w:val="20"/>
              </w:rPr>
              <w:t>3.1</w:t>
            </w:r>
          </w:p>
        </w:tc>
        <w:tc>
          <w:tcPr>
            <w:tcW w:w="60"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center"/>
              <w:rPr/>
            </w:pPr>
            <w:r>
              <w:rPr/>
              <w:t> </w:t>
            </w:r>
          </w:p>
        </w:tc>
      </w:tr>
      <w:tr>
        <w:trPr/>
        <w:tc>
          <w:tcPr>
            <w:tcW w:w="725" w:type="dxa"/>
            <w:tcBorders/>
            <w:shd w:fill="FFFFFF" w:val="clear"/>
            <w:vAlign w:val="center"/>
          </w:tcPr>
          <w:p>
            <w:pPr>
              <w:pStyle w:val="TableContents"/>
              <w:bidi w:val="0"/>
              <w:spacing w:before="0" w:after="283"/>
              <w:jc w:val="left"/>
              <w:rPr>
                <w:sz w:val="20"/>
              </w:rPr>
            </w:pPr>
            <w:r>
              <w:rPr>
                <w:sz w:val="20"/>
              </w:rPr>
              <w:t>4.2</w:t>
            </w:r>
          </w:p>
        </w:tc>
        <w:tc>
          <w:tcPr>
            <w:tcW w:w="60" w:type="dxa"/>
            <w:tcBorders/>
            <w:shd w:fill="FFFFFF" w:val="clear"/>
            <w:vAlign w:val="center"/>
          </w:tcPr>
          <w:p>
            <w:pPr>
              <w:pStyle w:val="TableContents"/>
              <w:bidi w:val="0"/>
              <w:spacing w:before="0" w:after="283"/>
              <w:jc w:val="left"/>
              <w:rPr/>
            </w:pPr>
            <w:r>
              <w:rPr/>
              <w:t> </w:t>
            </w:r>
          </w:p>
        </w:tc>
        <w:tc>
          <w:tcPr>
            <w:tcW w:w="6354" w:type="dxa"/>
            <w:tcBorders/>
            <w:shd w:fill="FFFFFF" w:val="clear"/>
            <w:vAlign w:val="center"/>
          </w:tcPr>
          <w:p>
            <w:pPr>
              <w:pStyle w:val="TableContents"/>
              <w:bidi w:val="0"/>
              <w:spacing w:before="0" w:after="283"/>
              <w:jc w:val="left"/>
              <w:rPr/>
            </w:pPr>
            <w:hyperlink r:id="rId18">
              <w:r>
                <w:rPr>
                  <w:rStyle w:val="InternetLink"/>
                  <w:sz w:val="20"/>
                </w:rPr>
                <w:t>Certificate of Amendment of the Second Amended and Restated Certificate of Incorporation of AEye, Inc.</w:t>
              </w:r>
            </w:hyperlink>
          </w:p>
        </w:tc>
        <w:tc>
          <w:tcPr>
            <w:tcW w:w="60"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center"/>
              <w:rPr>
                <w:sz w:val="20"/>
              </w:rPr>
            </w:pPr>
            <w:r>
              <w:rPr>
                <w:sz w:val="20"/>
              </w:rPr>
              <w:t>10-Q</w:t>
            </w:r>
          </w:p>
        </w:tc>
        <w:tc>
          <w:tcPr>
            <w:tcW w:w="61" w:type="dxa"/>
            <w:tcBorders/>
            <w:shd w:fill="FFFFFF" w:val="clear"/>
            <w:vAlign w:val="center"/>
          </w:tcPr>
          <w:p>
            <w:pPr>
              <w:pStyle w:val="TableContents"/>
              <w:bidi w:val="0"/>
              <w:spacing w:before="0" w:after="283"/>
              <w:jc w:val="center"/>
              <w:rPr/>
            </w:pPr>
            <w:r>
              <w:rPr/>
              <w:t> </w:t>
            </w:r>
          </w:p>
        </w:tc>
        <w:tc>
          <w:tcPr>
            <w:tcW w:w="767" w:type="dxa"/>
            <w:tcBorders/>
            <w:shd w:fill="FFFFFF" w:val="clear"/>
            <w:vAlign w:val="center"/>
          </w:tcPr>
          <w:p>
            <w:pPr>
              <w:pStyle w:val="TableContents"/>
              <w:bidi w:val="0"/>
              <w:spacing w:before="0" w:after="283"/>
              <w:jc w:val="center"/>
              <w:rPr>
                <w:sz w:val="20"/>
              </w:rPr>
            </w:pPr>
            <w:r>
              <w:rPr>
                <w:sz w:val="20"/>
              </w:rPr>
              <w:t>5/11/2023</w:t>
            </w:r>
          </w:p>
        </w:tc>
        <w:tc>
          <w:tcPr>
            <w:tcW w:w="61" w:type="dxa"/>
            <w:tcBorders/>
            <w:shd w:fill="FFFFFF" w:val="clear"/>
            <w:vAlign w:val="center"/>
          </w:tcPr>
          <w:p>
            <w:pPr>
              <w:pStyle w:val="TableContents"/>
              <w:bidi w:val="0"/>
              <w:spacing w:before="0" w:after="283"/>
              <w:jc w:val="center"/>
              <w:rPr/>
            </w:pPr>
            <w:r>
              <w:rPr/>
              <w:t> </w:t>
            </w:r>
          </w:p>
        </w:tc>
        <w:tc>
          <w:tcPr>
            <w:tcW w:w="727" w:type="dxa"/>
            <w:tcBorders/>
            <w:shd w:fill="FFFFFF" w:val="clear"/>
            <w:vAlign w:val="center"/>
          </w:tcPr>
          <w:p>
            <w:pPr>
              <w:pStyle w:val="TableContents"/>
              <w:bidi w:val="0"/>
              <w:spacing w:before="0" w:after="283"/>
              <w:jc w:val="center"/>
              <w:rPr>
                <w:sz w:val="20"/>
              </w:rPr>
            </w:pPr>
            <w:r>
              <w:rPr>
                <w:sz w:val="20"/>
              </w:rPr>
              <w:t>3.2</w:t>
            </w:r>
          </w:p>
        </w:tc>
        <w:tc>
          <w:tcPr>
            <w:tcW w:w="60"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center"/>
              <w:rPr/>
            </w:pPr>
            <w:r>
              <w:rPr/>
              <w:t> </w:t>
            </w:r>
          </w:p>
        </w:tc>
      </w:tr>
      <w:tr>
        <w:trPr/>
        <w:tc>
          <w:tcPr>
            <w:tcW w:w="725" w:type="dxa"/>
            <w:tcBorders/>
            <w:shd w:fill="CCEEFF" w:val="clear"/>
            <w:vAlign w:val="center"/>
          </w:tcPr>
          <w:p>
            <w:pPr>
              <w:pStyle w:val="TableContents"/>
              <w:bidi w:val="0"/>
              <w:spacing w:before="0" w:after="283"/>
              <w:jc w:val="left"/>
              <w:rPr>
                <w:sz w:val="20"/>
              </w:rPr>
            </w:pPr>
            <w:r>
              <w:rPr>
                <w:sz w:val="20"/>
              </w:rPr>
              <w:t>4.3</w:t>
            </w:r>
          </w:p>
        </w:tc>
        <w:tc>
          <w:tcPr>
            <w:tcW w:w="60" w:type="dxa"/>
            <w:tcBorders/>
            <w:shd w:fill="CCEEFF" w:val="clear"/>
            <w:vAlign w:val="center"/>
          </w:tcPr>
          <w:p>
            <w:pPr>
              <w:pStyle w:val="TableContents"/>
              <w:bidi w:val="0"/>
              <w:spacing w:before="0" w:after="283"/>
              <w:jc w:val="left"/>
              <w:rPr/>
            </w:pPr>
            <w:r>
              <w:rPr/>
              <w:t> </w:t>
            </w:r>
          </w:p>
        </w:tc>
        <w:tc>
          <w:tcPr>
            <w:tcW w:w="6354" w:type="dxa"/>
            <w:tcBorders/>
            <w:shd w:fill="CCEEFF" w:val="clear"/>
            <w:vAlign w:val="center"/>
          </w:tcPr>
          <w:p>
            <w:pPr>
              <w:pStyle w:val="TableContents"/>
              <w:bidi w:val="0"/>
              <w:spacing w:before="0" w:after="283"/>
              <w:jc w:val="left"/>
              <w:rPr/>
            </w:pPr>
            <w:hyperlink r:id="rId19">
              <w:r>
                <w:rPr>
                  <w:rStyle w:val="InternetLink"/>
                  <w:sz w:val="20"/>
                </w:rPr>
                <w:t>Amended and Restated Bylaws of AEye, Inc.</w:t>
              </w:r>
            </w:hyperlink>
          </w:p>
        </w:tc>
        <w:tc>
          <w:tcPr>
            <w:tcW w:w="60"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center"/>
              <w:rPr>
                <w:sz w:val="20"/>
              </w:rPr>
            </w:pPr>
            <w:r>
              <w:rPr>
                <w:sz w:val="20"/>
              </w:rPr>
              <w:t>8-K</w:t>
            </w:r>
          </w:p>
        </w:tc>
        <w:tc>
          <w:tcPr>
            <w:tcW w:w="61" w:type="dxa"/>
            <w:tcBorders/>
            <w:shd w:fill="CCEEFF" w:val="clear"/>
            <w:vAlign w:val="center"/>
          </w:tcPr>
          <w:p>
            <w:pPr>
              <w:pStyle w:val="TableContents"/>
              <w:bidi w:val="0"/>
              <w:spacing w:before="0" w:after="283"/>
              <w:jc w:val="center"/>
              <w:rPr/>
            </w:pPr>
            <w:r>
              <w:rPr/>
              <w:t> </w:t>
            </w:r>
          </w:p>
        </w:tc>
        <w:tc>
          <w:tcPr>
            <w:tcW w:w="767" w:type="dxa"/>
            <w:tcBorders/>
            <w:shd w:fill="CCEEFF" w:val="clear"/>
            <w:vAlign w:val="center"/>
          </w:tcPr>
          <w:p>
            <w:pPr>
              <w:pStyle w:val="TableContents"/>
              <w:bidi w:val="0"/>
              <w:spacing w:before="0" w:after="283"/>
              <w:jc w:val="center"/>
              <w:rPr>
                <w:sz w:val="20"/>
              </w:rPr>
            </w:pPr>
            <w:r>
              <w:rPr>
                <w:sz w:val="20"/>
              </w:rPr>
              <w:t>3/7/2025</w:t>
            </w:r>
          </w:p>
        </w:tc>
        <w:tc>
          <w:tcPr>
            <w:tcW w:w="61" w:type="dxa"/>
            <w:tcBorders/>
            <w:shd w:fill="CCEEFF" w:val="clear"/>
            <w:vAlign w:val="center"/>
          </w:tcPr>
          <w:p>
            <w:pPr>
              <w:pStyle w:val="TableContents"/>
              <w:bidi w:val="0"/>
              <w:spacing w:before="0" w:after="283"/>
              <w:jc w:val="center"/>
              <w:rPr/>
            </w:pPr>
            <w:r>
              <w:rPr/>
              <w:t> </w:t>
            </w:r>
          </w:p>
        </w:tc>
        <w:tc>
          <w:tcPr>
            <w:tcW w:w="727" w:type="dxa"/>
            <w:tcBorders/>
            <w:shd w:fill="CCEEFF" w:val="clear"/>
            <w:vAlign w:val="center"/>
          </w:tcPr>
          <w:p>
            <w:pPr>
              <w:pStyle w:val="TableContents"/>
              <w:bidi w:val="0"/>
              <w:spacing w:before="0" w:after="283"/>
              <w:jc w:val="center"/>
              <w:rPr>
                <w:sz w:val="20"/>
              </w:rPr>
            </w:pPr>
            <w:r>
              <w:rPr>
                <w:sz w:val="20"/>
              </w:rPr>
              <w:t>3.1</w:t>
            </w:r>
          </w:p>
        </w:tc>
        <w:tc>
          <w:tcPr>
            <w:tcW w:w="60"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center"/>
              <w:rPr/>
            </w:pPr>
            <w:r>
              <w:rPr/>
              <w:t> </w:t>
            </w:r>
          </w:p>
        </w:tc>
      </w:tr>
      <w:tr>
        <w:trPr/>
        <w:tc>
          <w:tcPr>
            <w:tcW w:w="725" w:type="dxa"/>
            <w:tcBorders/>
            <w:shd w:fill="FFFFFF" w:val="clear"/>
            <w:vAlign w:val="center"/>
          </w:tcPr>
          <w:p>
            <w:pPr>
              <w:pStyle w:val="TableContents"/>
              <w:bidi w:val="0"/>
              <w:spacing w:before="0" w:after="283"/>
              <w:jc w:val="left"/>
              <w:rPr>
                <w:sz w:val="20"/>
              </w:rPr>
            </w:pPr>
            <w:r>
              <w:rPr>
                <w:sz w:val="20"/>
              </w:rPr>
              <w:t>5.1</w:t>
            </w:r>
          </w:p>
        </w:tc>
        <w:tc>
          <w:tcPr>
            <w:tcW w:w="60" w:type="dxa"/>
            <w:tcBorders/>
            <w:shd w:fill="FFFFFF" w:val="clear"/>
            <w:vAlign w:val="center"/>
          </w:tcPr>
          <w:p>
            <w:pPr>
              <w:pStyle w:val="TableContents"/>
              <w:bidi w:val="0"/>
              <w:spacing w:before="0" w:after="283"/>
              <w:jc w:val="left"/>
              <w:rPr/>
            </w:pPr>
            <w:r>
              <w:rPr/>
              <w:t> </w:t>
            </w:r>
          </w:p>
        </w:tc>
        <w:tc>
          <w:tcPr>
            <w:tcW w:w="6354" w:type="dxa"/>
            <w:tcBorders/>
            <w:shd w:fill="FFFFFF" w:val="clear"/>
            <w:vAlign w:val="center"/>
          </w:tcPr>
          <w:p>
            <w:pPr>
              <w:pStyle w:val="TableContents"/>
              <w:bidi w:val="0"/>
              <w:spacing w:before="0" w:after="283"/>
              <w:jc w:val="left"/>
              <w:rPr/>
            </w:pPr>
            <w:hyperlink w:anchor="ea029142801ex5-1.htm">
              <w:r>
                <w:rPr>
                  <w:rStyle w:val="InternetLink"/>
                  <w:sz w:val="20"/>
                </w:rPr>
                <w:t>Opinion of Benesch Friedlander Coplan &amp; Aronoff LLP.</w:t>
              </w:r>
            </w:hyperlink>
          </w:p>
        </w:tc>
        <w:tc>
          <w:tcPr>
            <w:tcW w:w="60"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center"/>
              <w:rPr/>
            </w:pPr>
            <w:r>
              <w:rPr/>
              <w:t> </w:t>
            </w:r>
          </w:p>
        </w:tc>
        <w:tc>
          <w:tcPr>
            <w:tcW w:w="61" w:type="dxa"/>
            <w:tcBorders/>
            <w:shd w:fill="FFFFFF" w:val="clear"/>
            <w:vAlign w:val="center"/>
          </w:tcPr>
          <w:p>
            <w:pPr>
              <w:pStyle w:val="TableContents"/>
              <w:bidi w:val="0"/>
              <w:spacing w:before="0" w:after="283"/>
              <w:jc w:val="center"/>
              <w:rPr/>
            </w:pPr>
            <w:r>
              <w:rPr/>
              <w:t> </w:t>
            </w:r>
          </w:p>
        </w:tc>
        <w:tc>
          <w:tcPr>
            <w:tcW w:w="767" w:type="dxa"/>
            <w:tcBorders/>
            <w:shd w:fill="FFFFFF" w:val="clear"/>
            <w:vAlign w:val="center"/>
          </w:tcPr>
          <w:p>
            <w:pPr>
              <w:pStyle w:val="TableContents"/>
              <w:bidi w:val="0"/>
              <w:spacing w:before="0" w:after="283"/>
              <w:jc w:val="center"/>
              <w:rPr/>
            </w:pPr>
            <w:r>
              <w:rPr/>
              <w:t> </w:t>
            </w:r>
          </w:p>
        </w:tc>
        <w:tc>
          <w:tcPr>
            <w:tcW w:w="61" w:type="dxa"/>
            <w:tcBorders/>
            <w:shd w:fill="FFFFFF" w:val="clear"/>
            <w:vAlign w:val="center"/>
          </w:tcPr>
          <w:p>
            <w:pPr>
              <w:pStyle w:val="TableContents"/>
              <w:bidi w:val="0"/>
              <w:spacing w:before="0" w:after="283"/>
              <w:jc w:val="center"/>
              <w:rPr/>
            </w:pPr>
            <w:r>
              <w:rPr/>
              <w:t> </w:t>
            </w:r>
          </w:p>
        </w:tc>
        <w:tc>
          <w:tcPr>
            <w:tcW w:w="72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center"/>
              <w:rPr>
                <w:sz w:val="20"/>
              </w:rPr>
            </w:pPr>
            <w:r>
              <w:rPr>
                <w:sz w:val="20"/>
              </w:rPr>
              <w:t>X</w:t>
            </w:r>
          </w:p>
        </w:tc>
      </w:tr>
      <w:tr>
        <w:trPr/>
        <w:tc>
          <w:tcPr>
            <w:tcW w:w="725" w:type="dxa"/>
            <w:tcBorders/>
            <w:shd w:fill="CCEEFF" w:val="clear"/>
            <w:vAlign w:val="center"/>
          </w:tcPr>
          <w:p>
            <w:pPr>
              <w:pStyle w:val="TableContents"/>
              <w:bidi w:val="0"/>
              <w:spacing w:before="0" w:after="283"/>
              <w:jc w:val="left"/>
              <w:rPr>
                <w:sz w:val="20"/>
              </w:rPr>
            </w:pPr>
            <w:r>
              <w:rPr>
                <w:sz w:val="20"/>
              </w:rPr>
              <w:t>10.1#</w:t>
            </w:r>
          </w:p>
        </w:tc>
        <w:tc>
          <w:tcPr>
            <w:tcW w:w="60" w:type="dxa"/>
            <w:tcBorders/>
            <w:shd w:fill="CCEEFF" w:val="clear"/>
            <w:vAlign w:val="center"/>
          </w:tcPr>
          <w:p>
            <w:pPr>
              <w:pStyle w:val="TableContents"/>
              <w:bidi w:val="0"/>
              <w:spacing w:before="0" w:after="283"/>
              <w:jc w:val="left"/>
              <w:rPr/>
            </w:pPr>
            <w:r>
              <w:rPr/>
              <w:t> </w:t>
            </w:r>
          </w:p>
        </w:tc>
        <w:tc>
          <w:tcPr>
            <w:tcW w:w="6354" w:type="dxa"/>
            <w:tcBorders/>
            <w:shd w:fill="CCEEFF" w:val="clear"/>
            <w:vAlign w:val="center"/>
          </w:tcPr>
          <w:p>
            <w:pPr>
              <w:pStyle w:val="TableContents"/>
              <w:bidi w:val="0"/>
              <w:spacing w:before="0" w:after="283"/>
              <w:jc w:val="left"/>
              <w:rPr/>
            </w:pPr>
            <w:r>
              <w:fldChar w:fldCharType="begin"/>
            </w:r>
            <w:r>
              <w:rPr>
                <w:rStyle w:val="InternetLink"/>
                <w:sz w:val="20"/>
              </w:rPr>
              <w:instrText xml:space="preserve"> HYPERLINK "http://www.sec.gov/ix?doc=/Archives/edgar/data/1818644/000110465926036805/tm2519036-3_def14a.htm" \l "t1PAT"</w:instrText>
            </w:r>
            <w:r>
              <w:rPr>
                <w:rStyle w:val="InternetLink"/>
                <w:sz w:val="20"/>
              </w:rPr>
              <w:fldChar w:fldCharType="separate"/>
            </w:r>
            <w:r>
              <w:rPr>
                <w:rStyle w:val="InternetLink"/>
                <w:sz w:val="20"/>
              </w:rPr>
              <w:t>AEye, Inc. 2021 Amended and Restated Equity Incentive Plan.</w:t>
            </w:r>
            <w:r>
              <w:rPr>
                <w:rStyle w:val="InternetLink"/>
                <w:sz w:val="20"/>
              </w:rPr>
              <w:fldChar w:fldCharType="end"/>
            </w:r>
          </w:p>
        </w:tc>
        <w:tc>
          <w:tcPr>
            <w:tcW w:w="60"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center"/>
              <w:rPr>
                <w:sz w:val="20"/>
              </w:rPr>
            </w:pPr>
            <w:r>
              <w:rPr>
                <w:sz w:val="20"/>
              </w:rPr>
              <w:t>14A</w:t>
            </w:r>
          </w:p>
        </w:tc>
        <w:tc>
          <w:tcPr>
            <w:tcW w:w="61" w:type="dxa"/>
            <w:tcBorders/>
            <w:shd w:fill="CCEEFF" w:val="clear"/>
            <w:vAlign w:val="center"/>
          </w:tcPr>
          <w:p>
            <w:pPr>
              <w:pStyle w:val="TableContents"/>
              <w:bidi w:val="0"/>
              <w:spacing w:before="0" w:after="283"/>
              <w:jc w:val="center"/>
              <w:rPr/>
            </w:pPr>
            <w:r>
              <w:rPr/>
              <w:t> </w:t>
            </w:r>
          </w:p>
        </w:tc>
        <w:tc>
          <w:tcPr>
            <w:tcW w:w="767" w:type="dxa"/>
            <w:tcBorders/>
            <w:shd w:fill="CCEEFF" w:val="clear"/>
            <w:vAlign w:val="center"/>
          </w:tcPr>
          <w:p>
            <w:pPr>
              <w:pStyle w:val="TableContents"/>
              <w:bidi w:val="0"/>
              <w:spacing w:before="0" w:after="283"/>
              <w:jc w:val="center"/>
              <w:rPr>
                <w:sz w:val="20"/>
              </w:rPr>
            </w:pPr>
            <w:r>
              <w:rPr>
                <w:sz w:val="20"/>
              </w:rPr>
              <w:t>3/30/2026</w:t>
            </w:r>
          </w:p>
        </w:tc>
        <w:tc>
          <w:tcPr>
            <w:tcW w:w="61" w:type="dxa"/>
            <w:tcBorders/>
            <w:shd w:fill="CCEEFF" w:val="clear"/>
            <w:vAlign w:val="center"/>
          </w:tcPr>
          <w:p>
            <w:pPr>
              <w:pStyle w:val="TableContents"/>
              <w:bidi w:val="0"/>
              <w:spacing w:before="0" w:after="283"/>
              <w:jc w:val="center"/>
              <w:rPr/>
            </w:pPr>
            <w:r>
              <w:rPr/>
              <w:t> </w:t>
            </w:r>
          </w:p>
        </w:tc>
        <w:tc>
          <w:tcPr>
            <w:tcW w:w="72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center"/>
              <w:rPr/>
            </w:pPr>
            <w:r>
              <w:rPr/>
              <w:t> </w:t>
            </w:r>
          </w:p>
        </w:tc>
      </w:tr>
      <w:tr>
        <w:trPr/>
        <w:tc>
          <w:tcPr>
            <w:tcW w:w="725" w:type="dxa"/>
            <w:tcBorders/>
            <w:shd w:fill="FFFFFF" w:val="clear"/>
            <w:vAlign w:val="center"/>
          </w:tcPr>
          <w:p>
            <w:pPr>
              <w:pStyle w:val="TableContents"/>
              <w:bidi w:val="0"/>
              <w:spacing w:before="0" w:after="283"/>
              <w:jc w:val="left"/>
              <w:rPr>
                <w:sz w:val="20"/>
              </w:rPr>
            </w:pPr>
            <w:r>
              <w:rPr>
                <w:sz w:val="20"/>
              </w:rPr>
              <w:t>23.1</w:t>
            </w:r>
          </w:p>
        </w:tc>
        <w:tc>
          <w:tcPr>
            <w:tcW w:w="60" w:type="dxa"/>
            <w:tcBorders/>
            <w:shd w:fill="FFFFFF" w:val="clear"/>
            <w:vAlign w:val="center"/>
          </w:tcPr>
          <w:p>
            <w:pPr>
              <w:pStyle w:val="TableContents"/>
              <w:bidi w:val="0"/>
              <w:spacing w:before="0" w:after="283"/>
              <w:jc w:val="left"/>
              <w:rPr/>
            </w:pPr>
            <w:r>
              <w:rPr/>
              <w:t> </w:t>
            </w:r>
          </w:p>
        </w:tc>
        <w:tc>
          <w:tcPr>
            <w:tcW w:w="6354" w:type="dxa"/>
            <w:tcBorders/>
            <w:shd w:fill="FFFFFF" w:val="clear"/>
            <w:vAlign w:val="center"/>
          </w:tcPr>
          <w:p>
            <w:pPr>
              <w:pStyle w:val="TableContents"/>
              <w:bidi w:val="0"/>
              <w:spacing w:before="0" w:after="283"/>
              <w:jc w:val="left"/>
              <w:rPr/>
            </w:pPr>
            <w:hyperlink w:anchor="ea029142801ex23-1.htm">
              <w:r>
                <w:rPr>
                  <w:rStyle w:val="InternetLink"/>
                  <w:sz w:val="20"/>
                </w:rPr>
                <w:t>Consent of KPMG LLP</w:t>
              </w:r>
            </w:hyperlink>
          </w:p>
        </w:tc>
        <w:tc>
          <w:tcPr>
            <w:tcW w:w="60"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center"/>
              <w:rPr/>
            </w:pPr>
            <w:r>
              <w:rPr/>
              <w:t> </w:t>
            </w:r>
          </w:p>
        </w:tc>
        <w:tc>
          <w:tcPr>
            <w:tcW w:w="61" w:type="dxa"/>
            <w:tcBorders/>
            <w:shd w:fill="FFFFFF" w:val="clear"/>
            <w:vAlign w:val="center"/>
          </w:tcPr>
          <w:p>
            <w:pPr>
              <w:pStyle w:val="TableContents"/>
              <w:bidi w:val="0"/>
              <w:spacing w:before="0" w:after="283"/>
              <w:jc w:val="center"/>
              <w:rPr/>
            </w:pPr>
            <w:r>
              <w:rPr/>
              <w:t> </w:t>
            </w:r>
          </w:p>
        </w:tc>
        <w:tc>
          <w:tcPr>
            <w:tcW w:w="767" w:type="dxa"/>
            <w:tcBorders/>
            <w:shd w:fill="FFFFFF" w:val="clear"/>
            <w:vAlign w:val="center"/>
          </w:tcPr>
          <w:p>
            <w:pPr>
              <w:pStyle w:val="TableContents"/>
              <w:bidi w:val="0"/>
              <w:spacing w:before="0" w:after="283"/>
              <w:jc w:val="center"/>
              <w:rPr/>
            </w:pPr>
            <w:r>
              <w:rPr/>
              <w:t> </w:t>
            </w:r>
          </w:p>
        </w:tc>
        <w:tc>
          <w:tcPr>
            <w:tcW w:w="61" w:type="dxa"/>
            <w:tcBorders/>
            <w:shd w:fill="FFFFFF" w:val="clear"/>
            <w:vAlign w:val="center"/>
          </w:tcPr>
          <w:p>
            <w:pPr>
              <w:pStyle w:val="TableContents"/>
              <w:bidi w:val="0"/>
              <w:spacing w:before="0" w:after="283"/>
              <w:jc w:val="center"/>
              <w:rPr/>
            </w:pPr>
            <w:r>
              <w:rPr/>
              <w:t> </w:t>
            </w:r>
          </w:p>
        </w:tc>
        <w:tc>
          <w:tcPr>
            <w:tcW w:w="72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center"/>
              <w:rPr>
                <w:sz w:val="20"/>
              </w:rPr>
            </w:pPr>
            <w:r>
              <w:rPr>
                <w:sz w:val="20"/>
              </w:rPr>
              <w:t>X</w:t>
            </w:r>
          </w:p>
        </w:tc>
      </w:tr>
      <w:tr>
        <w:trPr/>
        <w:tc>
          <w:tcPr>
            <w:tcW w:w="725" w:type="dxa"/>
            <w:tcBorders/>
            <w:shd w:fill="CCEEFF" w:val="clear"/>
            <w:vAlign w:val="center"/>
          </w:tcPr>
          <w:p>
            <w:pPr>
              <w:pStyle w:val="TableContents"/>
              <w:bidi w:val="0"/>
              <w:spacing w:before="0" w:after="283"/>
              <w:jc w:val="left"/>
              <w:rPr>
                <w:sz w:val="20"/>
              </w:rPr>
            </w:pPr>
            <w:r>
              <w:rPr>
                <w:sz w:val="20"/>
              </w:rPr>
              <w:t>23.2</w:t>
            </w:r>
          </w:p>
        </w:tc>
        <w:tc>
          <w:tcPr>
            <w:tcW w:w="60" w:type="dxa"/>
            <w:tcBorders/>
            <w:shd w:fill="CCEEFF" w:val="clear"/>
            <w:vAlign w:val="center"/>
          </w:tcPr>
          <w:p>
            <w:pPr>
              <w:pStyle w:val="TableContents"/>
              <w:bidi w:val="0"/>
              <w:spacing w:before="0" w:after="283"/>
              <w:jc w:val="left"/>
              <w:rPr/>
            </w:pPr>
            <w:r>
              <w:rPr/>
              <w:t> </w:t>
            </w:r>
          </w:p>
        </w:tc>
        <w:tc>
          <w:tcPr>
            <w:tcW w:w="6354" w:type="dxa"/>
            <w:tcBorders/>
            <w:shd w:fill="CCEEFF" w:val="clear"/>
            <w:vAlign w:val="center"/>
          </w:tcPr>
          <w:p>
            <w:pPr>
              <w:pStyle w:val="TableContents"/>
              <w:bidi w:val="0"/>
              <w:spacing w:before="0" w:after="283"/>
              <w:jc w:val="left"/>
              <w:rPr/>
            </w:pPr>
            <w:hyperlink w:anchor="ea029142801ex5-1.htm">
              <w:r>
                <w:rPr>
                  <w:rStyle w:val="InternetLink"/>
                  <w:sz w:val="20"/>
                </w:rPr>
                <w:t>Consent of Benesch Friedlander Coplan &amp; Aronoff LLP (included in Exhibit 5.1).</w:t>
              </w:r>
            </w:hyperlink>
          </w:p>
        </w:tc>
        <w:tc>
          <w:tcPr>
            <w:tcW w:w="60"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center"/>
              <w:rPr/>
            </w:pPr>
            <w:r>
              <w:rPr/>
              <w:t> </w:t>
            </w:r>
          </w:p>
        </w:tc>
        <w:tc>
          <w:tcPr>
            <w:tcW w:w="61" w:type="dxa"/>
            <w:tcBorders/>
            <w:shd w:fill="CCEEFF" w:val="clear"/>
            <w:vAlign w:val="center"/>
          </w:tcPr>
          <w:p>
            <w:pPr>
              <w:pStyle w:val="TableContents"/>
              <w:bidi w:val="0"/>
              <w:spacing w:before="0" w:after="283"/>
              <w:jc w:val="center"/>
              <w:rPr/>
            </w:pPr>
            <w:r>
              <w:rPr/>
              <w:t> </w:t>
            </w:r>
          </w:p>
        </w:tc>
        <w:tc>
          <w:tcPr>
            <w:tcW w:w="767" w:type="dxa"/>
            <w:tcBorders/>
            <w:shd w:fill="CCEEFF" w:val="clear"/>
            <w:vAlign w:val="center"/>
          </w:tcPr>
          <w:p>
            <w:pPr>
              <w:pStyle w:val="TableContents"/>
              <w:bidi w:val="0"/>
              <w:spacing w:before="0" w:after="283"/>
              <w:jc w:val="center"/>
              <w:rPr/>
            </w:pPr>
            <w:r>
              <w:rPr/>
              <w:t> </w:t>
            </w:r>
          </w:p>
        </w:tc>
        <w:tc>
          <w:tcPr>
            <w:tcW w:w="61" w:type="dxa"/>
            <w:tcBorders/>
            <w:shd w:fill="CCEEFF" w:val="clear"/>
            <w:vAlign w:val="center"/>
          </w:tcPr>
          <w:p>
            <w:pPr>
              <w:pStyle w:val="TableContents"/>
              <w:bidi w:val="0"/>
              <w:spacing w:before="0" w:after="283"/>
              <w:jc w:val="center"/>
              <w:rPr/>
            </w:pPr>
            <w:r>
              <w:rPr/>
              <w:t> </w:t>
            </w:r>
          </w:p>
        </w:tc>
        <w:tc>
          <w:tcPr>
            <w:tcW w:w="72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center"/>
              <w:rPr>
                <w:sz w:val="20"/>
              </w:rPr>
            </w:pPr>
            <w:r>
              <w:rPr>
                <w:sz w:val="20"/>
              </w:rPr>
              <w:t>X</w:t>
            </w:r>
          </w:p>
        </w:tc>
      </w:tr>
      <w:tr>
        <w:trPr/>
        <w:tc>
          <w:tcPr>
            <w:tcW w:w="725" w:type="dxa"/>
            <w:tcBorders/>
            <w:shd w:fill="FFFFFF" w:val="clear"/>
            <w:vAlign w:val="center"/>
          </w:tcPr>
          <w:p>
            <w:pPr>
              <w:pStyle w:val="TableContents"/>
              <w:bidi w:val="0"/>
              <w:spacing w:before="0" w:after="283"/>
              <w:jc w:val="left"/>
              <w:rPr>
                <w:sz w:val="20"/>
              </w:rPr>
            </w:pPr>
            <w:r>
              <w:rPr>
                <w:sz w:val="20"/>
              </w:rPr>
              <w:t>24.1</w:t>
            </w:r>
          </w:p>
        </w:tc>
        <w:tc>
          <w:tcPr>
            <w:tcW w:w="60" w:type="dxa"/>
            <w:tcBorders/>
            <w:shd w:fill="FFFFFF" w:val="clear"/>
            <w:vAlign w:val="center"/>
          </w:tcPr>
          <w:p>
            <w:pPr>
              <w:pStyle w:val="TableContents"/>
              <w:bidi w:val="0"/>
              <w:spacing w:before="0" w:after="283"/>
              <w:jc w:val="left"/>
              <w:rPr/>
            </w:pPr>
            <w:r>
              <w:rPr/>
              <w:t> </w:t>
            </w:r>
          </w:p>
        </w:tc>
        <w:tc>
          <w:tcPr>
            <w:tcW w:w="6354" w:type="dxa"/>
            <w:tcBorders/>
            <w:shd w:fill="FFFFFF" w:val="clear"/>
            <w:vAlign w:val="center"/>
          </w:tcPr>
          <w:p>
            <w:pPr>
              <w:pStyle w:val="TableContents"/>
              <w:bidi w:val="0"/>
              <w:spacing w:before="0" w:after="283"/>
              <w:jc w:val="left"/>
              <w:rPr/>
            </w:pPr>
            <w:hyperlink w:anchor="a_001">
              <w:r>
                <w:rPr>
                  <w:rStyle w:val="InternetLink"/>
                  <w:sz w:val="20"/>
                </w:rPr>
                <w:t>Power of Attorney (included on the signature page).</w:t>
              </w:r>
            </w:hyperlink>
          </w:p>
        </w:tc>
        <w:tc>
          <w:tcPr>
            <w:tcW w:w="60"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center"/>
              <w:rPr/>
            </w:pPr>
            <w:r>
              <w:rPr/>
              <w:t> </w:t>
            </w:r>
          </w:p>
        </w:tc>
        <w:tc>
          <w:tcPr>
            <w:tcW w:w="61" w:type="dxa"/>
            <w:tcBorders/>
            <w:shd w:fill="FFFFFF" w:val="clear"/>
            <w:vAlign w:val="center"/>
          </w:tcPr>
          <w:p>
            <w:pPr>
              <w:pStyle w:val="TableContents"/>
              <w:bidi w:val="0"/>
              <w:spacing w:before="0" w:after="283"/>
              <w:jc w:val="center"/>
              <w:rPr/>
            </w:pPr>
            <w:r>
              <w:rPr/>
              <w:t> </w:t>
            </w:r>
          </w:p>
        </w:tc>
        <w:tc>
          <w:tcPr>
            <w:tcW w:w="767" w:type="dxa"/>
            <w:tcBorders/>
            <w:shd w:fill="FFFFFF" w:val="clear"/>
            <w:vAlign w:val="center"/>
          </w:tcPr>
          <w:p>
            <w:pPr>
              <w:pStyle w:val="TableContents"/>
              <w:bidi w:val="0"/>
              <w:spacing w:before="0" w:after="283"/>
              <w:jc w:val="center"/>
              <w:rPr/>
            </w:pPr>
            <w:r>
              <w:rPr/>
              <w:t> </w:t>
            </w:r>
          </w:p>
        </w:tc>
        <w:tc>
          <w:tcPr>
            <w:tcW w:w="61" w:type="dxa"/>
            <w:tcBorders/>
            <w:shd w:fill="FFFFFF" w:val="clear"/>
            <w:vAlign w:val="center"/>
          </w:tcPr>
          <w:p>
            <w:pPr>
              <w:pStyle w:val="TableContents"/>
              <w:bidi w:val="0"/>
              <w:spacing w:before="0" w:after="283"/>
              <w:jc w:val="center"/>
              <w:rPr/>
            </w:pPr>
            <w:r>
              <w:rPr/>
              <w:t> </w:t>
            </w:r>
          </w:p>
        </w:tc>
        <w:tc>
          <w:tcPr>
            <w:tcW w:w="72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center"/>
              <w:rPr>
                <w:sz w:val="20"/>
              </w:rPr>
            </w:pPr>
            <w:r>
              <w:rPr>
                <w:sz w:val="20"/>
              </w:rPr>
              <w:t>X</w:t>
            </w:r>
          </w:p>
        </w:tc>
      </w:tr>
      <w:tr>
        <w:trPr/>
        <w:tc>
          <w:tcPr>
            <w:tcW w:w="725" w:type="dxa"/>
            <w:tcBorders/>
            <w:shd w:fill="CCEEFF" w:val="clear"/>
            <w:vAlign w:val="center"/>
          </w:tcPr>
          <w:p>
            <w:pPr>
              <w:pStyle w:val="TableContents"/>
              <w:bidi w:val="0"/>
              <w:spacing w:before="0" w:after="283"/>
              <w:jc w:val="left"/>
              <w:rPr>
                <w:sz w:val="20"/>
              </w:rPr>
            </w:pPr>
            <w:r>
              <w:rPr>
                <w:sz w:val="20"/>
              </w:rPr>
              <w:t>107</w:t>
            </w:r>
          </w:p>
        </w:tc>
        <w:tc>
          <w:tcPr>
            <w:tcW w:w="60" w:type="dxa"/>
            <w:tcBorders/>
            <w:shd w:fill="CCEEFF" w:val="clear"/>
            <w:vAlign w:val="center"/>
          </w:tcPr>
          <w:p>
            <w:pPr>
              <w:pStyle w:val="TableContents"/>
              <w:bidi w:val="0"/>
              <w:spacing w:before="0" w:after="283"/>
              <w:jc w:val="left"/>
              <w:rPr/>
            </w:pPr>
            <w:r>
              <w:rPr/>
              <w:t> </w:t>
            </w:r>
          </w:p>
        </w:tc>
        <w:tc>
          <w:tcPr>
            <w:tcW w:w="6354" w:type="dxa"/>
            <w:tcBorders/>
            <w:shd w:fill="CCEEFF" w:val="clear"/>
            <w:vAlign w:val="center"/>
          </w:tcPr>
          <w:p>
            <w:pPr>
              <w:pStyle w:val="TableContents"/>
              <w:bidi w:val="0"/>
              <w:spacing w:before="0" w:after="283"/>
              <w:jc w:val="left"/>
              <w:rPr/>
            </w:pPr>
            <w:hyperlink w:anchor="ea029142801ex-fee.htm">
              <w:r>
                <w:rPr>
                  <w:rStyle w:val="InternetLink"/>
                  <w:sz w:val="20"/>
                </w:rPr>
                <w:t>Filing Fee Table.</w:t>
              </w:r>
            </w:hyperlink>
          </w:p>
        </w:tc>
        <w:tc>
          <w:tcPr>
            <w:tcW w:w="60"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center"/>
              <w:rPr/>
            </w:pPr>
            <w:r>
              <w:rPr/>
              <w:t> </w:t>
            </w:r>
          </w:p>
        </w:tc>
        <w:tc>
          <w:tcPr>
            <w:tcW w:w="61" w:type="dxa"/>
            <w:tcBorders/>
            <w:shd w:fill="CCEEFF" w:val="clear"/>
            <w:vAlign w:val="center"/>
          </w:tcPr>
          <w:p>
            <w:pPr>
              <w:pStyle w:val="TableContents"/>
              <w:bidi w:val="0"/>
              <w:spacing w:before="0" w:after="283"/>
              <w:jc w:val="center"/>
              <w:rPr/>
            </w:pPr>
            <w:r>
              <w:rPr/>
              <w:t> </w:t>
            </w:r>
          </w:p>
        </w:tc>
        <w:tc>
          <w:tcPr>
            <w:tcW w:w="767" w:type="dxa"/>
            <w:tcBorders/>
            <w:shd w:fill="CCEEFF" w:val="clear"/>
            <w:vAlign w:val="center"/>
          </w:tcPr>
          <w:p>
            <w:pPr>
              <w:pStyle w:val="TableContents"/>
              <w:bidi w:val="0"/>
              <w:spacing w:before="0" w:after="283"/>
              <w:jc w:val="center"/>
              <w:rPr/>
            </w:pPr>
            <w:r>
              <w:rPr/>
              <w:t> </w:t>
            </w:r>
          </w:p>
        </w:tc>
        <w:tc>
          <w:tcPr>
            <w:tcW w:w="61" w:type="dxa"/>
            <w:tcBorders/>
            <w:shd w:fill="CCEEFF" w:val="clear"/>
            <w:vAlign w:val="center"/>
          </w:tcPr>
          <w:p>
            <w:pPr>
              <w:pStyle w:val="TableContents"/>
              <w:bidi w:val="0"/>
              <w:spacing w:before="0" w:after="283"/>
              <w:jc w:val="center"/>
              <w:rPr/>
            </w:pPr>
            <w:r>
              <w:rPr/>
              <w:t> </w:t>
            </w:r>
          </w:p>
        </w:tc>
        <w:tc>
          <w:tcPr>
            <w:tcW w:w="72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center"/>
              <w:rPr>
                <w:sz w:val="20"/>
              </w:rPr>
            </w:pPr>
            <w:r>
              <w:rPr>
                <w:sz w:val="20"/>
              </w:rPr>
              <w:t>X</w:t>
            </w:r>
          </w:p>
        </w:tc>
      </w:tr>
    </w:tbl>
    <w:p>
      <w:pPr>
        <w:pStyle w:val="TextBody"/>
        <w:bidi w:val="0"/>
        <w:spacing w:before="0" w:after="0"/>
        <w:ind w:left="0" w:right="0" w:hanging="0"/>
        <w:jc w:val="left"/>
        <w:rPr>
          <w:caps w:val="false"/>
          <w:smallCaps w:val="false"/>
        </w:rPr>
      </w:pPr>
      <w:r>
        <w:rPr>
          <w:caps w:val="false"/>
          <w:smallCaps w:val="false"/>
        </w:rPr>
        <w:t> </w:t>
      </w:r>
    </w:p>
    <w:tbl>
      <w:tblPr>
        <w:tblW w:w="4413" w:type="dxa"/>
        <w:jc w:val="left"/>
        <w:tblInd w:w="0" w:type="dxa"/>
        <w:tblLayout w:type="fixed"/>
        <w:tblCellMar>
          <w:top w:w="0" w:type="dxa"/>
          <w:left w:w="0" w:type="dxa"/>
          <w:bottom w:w="0" w:type="dxa"/>
          <w:right w:w="0" w:type="dxa"/>
        </w:tblCellMar>
      </w:tblPr>
      <w:tblGrid>
        <w:gridCol w:w="38"/>
        <w:gridCol w:w="140"/>
        <w:gridCol w:w="423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4235" w:type="dxa"/>
            <w:tcBorders/>
            <w:vAlign w:val="center"/>
          </w:tcPr>
          <w:p>
            <w:pPr>
              <w:pStyle w:val="TableContents"/>
              <w:bidi w:val="0"/>
              <w:spacing w:before="0" w:after="283"/>
              <w:jc w:val="both"/>
              <w:rPr/>
            </w:pPr>
            <w:r>
              <w:rPr/>
              <w:t>Management contract or compensatory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Undertakings.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undersigned Registrant hereby undertakes: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include any material information with respect to the plan of distribution not previously disclosed in the registration statement or any material change to such information in the registration statement; provided, however, that clauses (1)(i) and (1)(ii) of this section do not apply if the information required to be included in a post-effective amendment by those clauses is contained in reports filed with or furnished to the Commission by the Registrant pursuant to Section 13 or Section 15(d) of the Exchange Act that are incorporated by reference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offering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offering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Pleasanton, State of California on the 19th day of May 2026.</w:t>
      </w:r>
    </w:p>
    <w:p>
      <w:pPr>
        <w:pStyle w:val="TextBody"/>
        <w:bidi w:val="0"/>
        <w:spacing w:before="0" w:after="0"/>
        <w:ind w:left="0" w:right="0" w:hanging="0"/>
        <w:jc w:val="left"/>
        <w:rPr>
          <w:caps w:val="false"/>
          <w:smallCaps w:val="false"/>
        </w:rPr>
      </w:pPr>
      <w:r>
        <w:rPr>
          <w:caps w:val="false"/>
          <w:smallCaps w:val="false"/>
        </w:rPr>
        <w:t> </w:t>
      </w:r>
    </w:p>
    <w:tbl>
      <w:tblPr>
        <w:tblW w:w="3215" w:type="dxa"/>
        <w:jc w:val="left"/>
        <w:tblInd w:w="0" w:type="dxa"/>
        <w:tblLayout w:type="fixed"/>
        <w:tblCellMar>
          <w:top w:w="0" w:type="dxa"/>
          <w:left w:w="0" w:type="dxa"/>
          <w:bottom w:w="0" w:type="dxa"/>
          <w:right w:w="0" w:type="dxa"/>
        </w:tblCellMar>
      </w:tblPr>
      <w:tblGrid>
        <w:gridCol w:w="3140"/>
        <w:gridCol w:w="75"/>
      </w:tblGrid>
      <w:tr>
        <w:trPr/>
        <w:tc>
          <w:tcPr>
            <w:tcW w:w="3140" w:type="dxa"/>
            <w:tcBorders/>
            <w:vAlign w:val="center"/>
          </w:tcPr>
          <w:p>
            <w:pPr>
              <w:pStyle w:val="TableContents"/>
              <w:bidi w:val="0"/>
              <w:spacing w:before="0" w:after="283"/>
              <w:jc w:val="left"/>
              <w:rPr>
                <w:sz w:val="20"/>
              </w:rPr>
            </w:pPr>
            <w:r>
              <w:rPr>
                <w:sz w:val="20"/>
              </w:rPr>
              <w:t>AEYE, INC.</w:t>
            </w:r>
          </w:p>
        </w:tc>
        <w:tc>
          <w:tcPr>
            <w:tcW w:w="75"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14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Matthew Fisch</w:t>
            </w:r>
          </w:p>
        </w:tc>
        <w:tc>
          <w:tcPr>
            <w:tcW w:w="75"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sz w:val="20"/>
              </w:rPr>
            </w:pPr>
            <w:r>
              <w:rPr>
                <w:sz w:val="20"/>
              </w:rPr>
              <w:t>Matthew Fisch</w:t>
            </w:r>
          </w:p>
        </w:tc>
        <w:tc>
          <w:tcPr>
            <w:tcW w:w="75"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sz w:val="20"/>
              </w:rPr>
            </w:pPr>
            <w:r>
              <w:rPr>
                <w:sz w:val="20"/>
              </w:rPr>
              <w:t>Chairman and 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constitutes and appoints Matthew Fisch and Conor B. Tierney as his or her true and lawful attorneys-in-fact and agents, each of whom may act alone, with full power of substitution and resubstitution, for him or her and in his or her name, place and stead, in any and all capacities, to sign any and all amendments (including post-effective amendments) to this Registration Statement on Form S-8, and to sign any related registration statement that is to be effective upon filing pursuant to Rule 462(b) promulgated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his or their substitute or substitutes, may lawfully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this Registration Statement has been signed below by the following persons in the capacities indicated on the date indicated.</w:t>
      </w:r>
    </w:p>
    <w:p>
      <w:pPr>
        <w:pStyle w:val="TextBody"/>
        <w:bidi w:val="0"/>
        <w:spacing w:before="0" w:after="0"/>
        <w:ind w:left="0" w:right="0" w:hanging="0"/>
        <w:jc w:val="left"/>
        <w:rPr>
          <w:caps w:val="false"/>
          <w:smallCaps w:val="false"/>
        </w:rPr>
      </w:pPr>
      <w:r>
        <w:rPr>
          <w:caps w:val="false"/>
          <w:smallCaps w:val="false"/>
        </w:rPr>
        <w:t> </w:t>
      </w:r>
    </w:p>
    <w:tbl>
      <w:tblPr>
        <w:tblW w:w="6870" w:type="dxa"/>
        <w:jc w:val="left"/>
        <w:tblInd w:w="0" w:type="dxa"/>
        <w:tblLayout w:type="fixed"/>
        <w:tblCellMar>
          <w:top w:w="0" w:type="dxa"/>
          <w:left w:w="0" w:type="dxa"/>
          <w:bottom w:w="28" w:type="dxa"/>
          <w:right w:w="0" w:type="dxa"/>
        </w:tblCellMar>
      </w:tblPr>
      <w:tblGrid>
        <w:gridCol w:w="2405"/>
        <w:gridCol w:w="60"/>
        <w:gridCol w:w="3125"/>
        <w:gridCol w:w="60"/>
        <w:gridCol w:w="1220"/>
      </w:tblGrid>
      <w:tr>
        <w:trPr/>
        <w:tc>
          <w:tcPr>
            <w:tcW w:w="240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12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2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405"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Matthew Fisch</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and Chief Executive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May 19, 2026</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Matthew Fisch</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405"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Conor B. Tierney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 Treasurer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19, 2026</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Conor B. Tierney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405"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Timothy J. Dunn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19, 2026</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Timothy J. Dunn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405"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Prof. Dr. Bernd Gottschalk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19, 2026</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 Dr. Bernd Gottschalk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405"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Jonathon B. Husby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19, 2026</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Jonathon B. Husby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405"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Doron Simon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19, 2026</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Doron Simon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405"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Sue E. Zeifman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19, 2026</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Sue E. Zeifman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II-5</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 w:name="ea029142801ex5-1.htm"/>
      <w:bookmarkStart w:id="4" w:name="ksea029142801ex51"/>
      <w:bookmarkEnd w:id="3"/>
      <w:bookmarkEnd w:id="4"/>
      <w:r>
        <w:rPr>
          <w:rFonts w:ascii="Times New Roman;Times;Serif" w:hAnsi="Times New Roman;Times;Serif"/>
          <w:b/>
          <w:i w:val="false"/>
          <w:caps w:val="false"/>
          <w:smallCaps w:val="false"/>
          <w:sz w:val="20"/>
        </w:rPr>
        <w:t>Exhibit 5.1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AEye,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4670 Willow Road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125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Pleasanton, California 94588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special counsel to AEye, Inc., a Delaware corporation (the “Company”), in connection with the Registration Statement on Form S-8 (the “Registration Statement”) of the Company relating to the registration of the offer and sale of up to 6,750,000 shares of common stock, par value $0.0001 per share (the “Shares”), issuable pursuant to the terms and in the manner set forth in the Amended and Restated AEye, Inc. 2021 Equity Incentive Plan (the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delivered in accordance with the requirements of Item 601(b)(5) of Regulation S-K promulgated under the Securities Act of 1933, as amended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we have examined and are familiar with originals or copies, certified or otherwise identified to our satisfaction, of: (i) the Registration Statement, to be filed with the Securities and Exchange Commission (the “Commission”) under the Act; (ii) the Second Amended and Restated Certificate of Incorporation of the Company, as currently in effect; (iii) the Amended and Restated By-Laws of the Company, as currently in effect; (iv) the Equity Incentive Plan; and (v) resolutions of the board of directors of the Company relating to, among other things, the approval of the Equity Incentive Plan, the reservation for issuance of the Shares issuable thereunder and the filing of the Registration Statement. We have also examined such other documents as we have deemed necessary or appropriate as a basis for the opinion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examination, we have assumed the legal capacity of all natural persons, the genuineness of all signatures, the authenticity of all documents submitted to us as certified or photostatic copies, and the authenticity of the originals of such latter documents. We have also assumed that the Company’s Board of Directors, or a duly authorized committee thereof, will have approved the issuance of each award under the Equity Incentive Plan prior to the issuance thereof. As to any facts material to this opinion that we did not independently establish or verify, we have relied upon oral or written statements and representations of officers and other representatives of the Company and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we are of the opinion that the Shares have been duly authorized by the requisite corporate action on the part of the Company and, when issued, paid for, and delivered pursuant to the terms and in the manner set forth in the Equity Incentive Plan, and assuming that the Shares remain duly reserved for issuance within the limits of the Equity Incentive Plan then remaining authorized but unissued,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www.beneschlaw.com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opinion is based upon and limited to the General Corporation Law of the State of Delaware (including the statutory provisions, the applicable provisions of the Delaware Constitution, and reported judicial decisions interpreting the foregoing). We express no opinion herein as to any other laws, statutes, regulations, or ordinances. This opinion is given as of the date hereof and we assume no obligation to update or supplement such opinion to reflect any facts or circumstances that may hereafter come to our attention or any changes that may hereafter occur. This opinion is being furnished solely for the Company’s benefit in connection with the offer, sale, and issuance of the Shares and is not to be used, quoted or otherwise referred to for any other purpose without our prior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with the Commission as an exhibit to the Registration Statement. In giving such consent, we do not concede that we are experts within the meaning of the Act or the rules and regulations thereunder or that this consent is required by Section 7 of the Act or the rules and regulations of the Commission.</w:t>
      </w:r>
    </w:p>
    <w:p>
      <w:pPr>
        <w:pStyle w:val="TextBody"/>
        <w:bidi w:val="0"/>
        <w:spacing w:before="0" w:after="0"/>
        <w:ind w:left="0" w:right="0" w:hanging="0"/>
        <w:jc w:val="left"/>
        <w:rPr>
          <w:caps w:val="false"/>
          <w:smallCaps w:val="false"/>
        </w:rPr>
      </w:pPr>
      <w:r>
        <w:rPr>
          <w:caps w:val="false"/>
          <w:smallCaps w:val="false"/>
        </w:rPr>
        <w:t> </w:t>
      </w:r>
    </w:p>
    <w:tbl>
      <w:tblPr>
        <w:tblW w:w="4010" w:type="dxa"/>
        <w:jc w:val="left"/>
        <w:tblInd w:w="0" w:type="dxa"/>
        <w:tblLayout w:type="fixed"/>
        <w:tblCellMar>
          <w:top w:w="0" w:type="dxa"/>
          <w:left w:w="0" w:type="dxa"/>
          <w:bottom w:w="0" w:type="dxa"/>
          <w:right w:w="0" w:type="dxa"/>
        </w:tblCellMar>
      </w:tblPr>
      <w:tblGrid>
        <w:gridCol w:w="75"/>
        <w:gridCol w:w="3935"/>
      </w:tblGrid>
      <w:tr>
        <w:trPr/>
        <w:tc>
          <w:tcPr>
            <w:tcW w:w="75"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sz w:val="20"/>
              </w:rPr>
            </w:pPr>
            <w:r>
              <w:rPr>
                <w:sz w:val="20"/>
              </w:rPr>
              <w:t>Very truly yours,</w:t>
            </w:r>
          </w:p>
        </w:tc>
      </w:tr>
      <w:tr>
        <w:trPr/>
        <w:tc>
          <w:tcPr>
            <w:tcW w:w="75"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sz w:val="20"/>
              </w:rPr>
            </w:pPr>
            <w:r>
              <w:rPr>
                <w:sz w:val="20"/>
              </w:rPr>
              <w:t>/s/ Benesch, Friedlander, Coplan &amp; Aronoff LLP</w:t>
            </w:r>
          </w:p>
        </w:tc>
      </w:tr>
      <w:tr>
        <w:trPr/>
        <w:tc>
          <w:tcPr>
            <w:tcW w:w="75"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 xml:space="preserve">BENESCH, FRIEDLANDER, </w:t>
              <w:br/>
              <w:t>COPLAN &amp; ARONOFF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AEye,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19,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jc w:val="right"/>
        <w:rPr>
          <w:b/>
        </w:rPr>
      </w:pPr>
      <w:bookmarkStart w:id="5" w:name="ea029142801ex23-1.htm"/>
      <w:bookmarkStart w:id="6" w:name="ksea029142801ex231"/>
      <w:bookmarkEnd w:id="5"/>
      <w:bookmarkEnd w:id="6"/>
      <w:r>
        <w:rPr>
          <w:b/>
        </w:rPr>
        <w:t>Exhibit 23.1</w:t>
      </w:r>
      <w:r>
        <w:br w:type="page"/>
      </w:r>
    </w:p>
    <w:p>
      <w:pPr>
        <w:pStyle w:val="TextBody"/>
        <w:bidi w:val="0"/>
        <w:spacing w:before="0" w:after="283"/>
        <w:jc w:val="left"/>
        <w:rPr/>
      </w:pPr>
      <w:r>
        <w:rPr/>
        <w:t> </w:t>
      </w:r>
    </w:p>
    <w:tbl>
      <w:tblPr>
        <w:tblW w:w="2960" w:type="dxa"/>
        <w:jc w:val="left"/>
        <w:tblInd w:w="0" w:type="dxa"/>
        <w:tblLayout w:type="fixed"/>
        <w:tblCellMar>
          <w:top w:w="0" w:type="dxa"/>
          <w:left w:w="0" w:type="dxa"/>
          <w:bottom w:w="0" w:type="dxa"/>
          <w:right w:w="0" w:type="dxa"/>
        </w:tblCellMar>
      </w:tblPr>
      <w:tblGrid>
        <w:gridCol w:w="1065"/>
        <w:gridCol w:w="1895"/>
      </w:tblGrid>
      <w:tr>
        <w:trPr/>
        <w:tc>
          <w:tcPr>
            <w:tcW w:w="1065" w:type="dxa"/>
            <w:tcBorders/>
            <w:vAlign w:val="center"/>
          </w:tcPr>
          <w:p>
            <w:pPr>
              <w:pStyle w:val="TableContents"/>
              <w:bidi w:val="0"/>
              <w:spacing w:before="0" w:after="283"/>
              <w:jc w:val="left"/>
              <w:rPr/>
            </w:pPr>
            <w:r>
              <w:rPr/>
              <w:drawing>
                <wp:inline distT="0" distB="0" distL="0" distR="0">
                  <wp:extent cx="666750" cy="323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0"/>
                          <a:stretch>
                            <a:fillRect/>
                          </a:stretch>
                        </pic:blipFill>
                        <pic:spPr bwMode="auto">
                          <a:xfrm>
                            <a:off x="0" y="0"/>
                            <a:ext cx="666750" cy="323850"/>
                          </a:xfrm>
                          <a:prstGeom prst="rect">
                            <a:avLst/>
                          </a:prstGeom>
                        </pic:spPr>
                      </pic:pic>
                    </a:graphicData>
                  </a:graphic>
                </wp:inline>
              </w:drawing>
            </w:r>
          </w:p>
        </w:tc>
        <w:tc>
          <w:tcPr>
            <w:tcW w:w="1895" w:type="dxa"/>
            <w:tcBorders/>
            <w:vAlign w:val="center"/>
          </w:tcPr>
          <w:p>
            <w:pPr>
              <w:pStyle w:val="TableContents"/>
              <w:bidi w:val="0"/>
              <w:spacing w:before="0" w:after="283"/>
              <w:jc w:val="left"/>
              <w:rPr/>
            </w:pPr>
            <w:r>
              <w:rPr/>
              <w:t> </w:t>
            </w:r>
          </w:p>
        </w:tc>
      </w:tr>
      <w:tr>
        <w:trPr/>
        <w:tc>
          <w:tcPr>
            <w:tcW w:w="106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KPMG LLP</w:t>
            </w:r>
          </w:p>
        </w:tc>
      </w:tr>
      <w:tr>
        <w:trPr/>
        <w:tc>
          <w:tcPr>
            <w:tcW w:w="106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2755 Augustine Drive</w:t>
            </w:r>
          </w:p>
        </w:tc>
      </w:tr>
      <w:tr>
        <w:trPr/>
        <w:tc>
          <w:tcPr>
            <w:tcW w:w="106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Suite 701</w:t>
            </w:r>
          </w:p>
        </w:tc>
      </w:tr>
      <w:tr>
        <w:trPr/>
        <w:tc>
          <w:tcPr>
            <w:tcW w:w="106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Santa Clara, CA 95054</w:t>
            </w:r>
          </w:p>
        </w:tc>
      </w:tr>
    </w:tbl>
    <w:p>
      <w:pPr>
        <w:pStyle w:val="TextBody"/>
        <w:bidi w:val="0"/>
        <w:spacing w:before="0" w:after="283"/>
        <w:jc w:val="left"/>
        <w:rPr/>
      </w:pPr>
      <w:r>
        <w:rPr/>
        <w:t> </w:t>
      </w:r>
    </w:p>
    <w:p>
      <w:pPr>
        <w:pStyle w:val="TextBody"/>
        <w:bidi w:val="0"/>
        <w:jc w:val="center"/>
        <w:rPr>
          <w:b/>
        </w:rPr>
      </w:pPr>
      <w:r>
        <w:rPr>
          <w:b/>
        </w:rPr>
        <w:t>Consent of Independent Registered Public Accounting Firm</w:t>
      </w:r>
    </w:p>
    <w:p>
      <w:pPr>
        <w:pStyle w:val="TextBody"/>
        <w:bidi w:val="0"/>
        <w:spacing w:before="0" w:after="283"/>
        <w:jc w:val="left"/>
        <w:rPr/>
      </w:pPr>
      <w:r>
        <w:rPr/>
        <w:t> </w:t>
      </w:r>
    </w:p>
    <w:p>
      <w:pPr>
        <w:pStyle w:val="TextBody"/>
        <w:bidi w:val="0"/>
        <w:jc w:val="left"/>
        <w:rPr/>
      </w:pPr>
      <w:r>
        <w:rPr/>
        <w:t>We consent to the use of our report dated March 18, 2026, with respect to the consolidated financial statements of AEye, Inc., incorporated herein by reference.</w:t>
      </w:r>
    </w:p>
    <w:p>
      <w:pPr>
        <w:pStyle w:val="TextBody"/>
        <w:bidi w:val="0"/>
        <w:spacing w:before="0" w:after="283"/>
        <w:jc w:val="left"/>
        <w:rPr/>
      </w:pPr>
      <w:r>
        <w:rPr/>
        <w:t> </w:t>
      </w:r>
    </w:p>
    <w:p>
      <w:pPr>
        <w:pStyle w:val="TextBody"/>
        <w:bidi w:val="0"/>
        <w:spacing w:before="0" w:after="283"/>
        <w:jc w:val="left"/>
        <w:rPr/>
      </w:pPr>
      <w:r>
        <w:rPr/>
        <w:t>/s/ KPMG LLP</w:t>
      </w:r>
    </w:p>
    <w:p>
      <w:pPr>
        <w:pStyle w:val="TextBody"/>
        <w:bidi w:val="0"/>
        <w:spacing w:before="0" w:after="283"/>
        <w:jc w:val="left"/>
        <w:rPr/>
      </w:pPr>
      <w:r>
        <w:rPr/>
        <w:t> </w:t>
      </w:r>
    </w:p>
    <w:p>
      <w:pPr>
        <w:pStyle w:val="TextBody"/>
        <w:bidi w:val="0"/>
        <w:spacing w:before="0" w:after="283"/>
        <w:jc w:val="left"/>
        <w:rPr/>
      </w:pPr>
      <w:r>
        <w:rPr/>
        <w:t>Santa Clara, California</w:t>
      </w:r>
    </w:p>
    <w:p>
      <w:pPr>
        <w:pStyle w:val="TextBody"/>
        <w:bidi w:val="0"/>
        <w:spacing w:before="0" w:after="283"/>
        <w:jc w:val="left"/>
        <w:rPr/>
      </w:pPr>
      <w:r>
        <w:rPr/>
        <w:t>May 19, 2026</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055"/>
        <w:gridCol w:w="75"/>
      </w:tblGrid>
      <w:tr>
        <w:trPr/>
        <w:tc>
          <w:tcPr>
            <w:tcW w:w="75" w:type="dxa"/>
            <w:tcBorders/>
            <w:vAlign w:val="center"/>
          </w:tcPr>
          <w:p>
            <w:pPr>
              <w:pStyle w:val="TableContents"/>
              <w:bidi w:val="0"/>
              <w:spacing w:before="0" w:after="283"/>
              <w:jc w:val="left"/>
              <w:rPr/>
            </w:pPr>
            <w:r>
              <w:rPr/>
              <w:t> </w:t>
            </w:r>
          </w:p>
        </w:tc>
        <w:tc>
          <w:tcPr>
            <w:tcW w:w="10055" w:type="dxa"/>
            <w:tcBorders/>
            <w:vAlign w:val="center"/>
          </w:tcPr>
          <w:p>
            <w:pPr>
              <w:pStyle w:val="TableContents"/>
              <w:bidi w:val="0"/>
              <w:spacing w:before="0" w:after="283"/>
              <w:jc w:val="left"/>
              <w:rPr/>
            </w:pPr>
            <w:r>
              <w:rPr/>
              <w:t xml:space="preserve">KPMG LLP, a Delaware limited liability partnership, and its subsidiaries are part of </w:t>
              <w:br/>
              <w:t>the KPMG global organization of independent member firms affiliated with KPMG International Limited, a private English company limited by guarantee.</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40"/>
        <w:jc w:val="right"/>
        <w:rPr>
          <w:rFonts w:ascii="Times New Roman;Times;Serif" w:hAnsi="Times New Roman;Times;Serif"/>
          <w:b/>
          <w:i w:val="false"/>
          <w:caps w:val="false"/>
          <w:smallCaps w:val="false"/>
          <w:sz w:val="24"/>
        </w:rPr>
      </w:pPr>
      <w:bookmarkStart w:id="7" w:name="ea029142801ex-fee.htm"/>
      <w:bookmarkStart w:id="8" w:name="ksea029142801exfee"/>
      <w:bookmarkEnd w:id="7"/>
      <w:bookmarkEnd w:id="8"/>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S-8</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AEye, Inc.</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Securities</w:t>
      </w:r>
    </w:p>
    <w:tbl>
      <w:tblPr>
        <w:tblW w:w="10205" w:type="dxa"/>
        <w:jc w:val="left"/>
        <w:tblInd w:w="0" w:type="dxa"/>
        <w:tblLayout w:type="fixed"/>
        <w:tblCellMar>
          <w:top w:w="0" w:type="dxa"/>
          <w:left w:w="0" w:type="dxa"/>
          <w:bottom w:w="0" w:type="dxa"/>
          <w:right w:w="0" w:type="dxa"/>
        </w:tblCellMar>
      </w:tblPr>
      <w:tblGrid>
        <w:gridCol w:w="844"/>
        <w:gridCol w:w="60"/>
        <w:gridCol w:w="1082"/>
        <w:gridCol w:w="60"/>
        <w:gridCol w:w="575"/>
        <w:gridCol w:w="60"/>
        <w:gridCol w:w="1121"/>
        <w:gridCol w:w="60"/>
        <w:gridCol w:w="1070"/>
        <w:gridCol w:w="60"/>
        <w:gridCol w:w="263"/>
        <w:gridCol w:w="829"/>
        <w:gridCol w:w="60"/>
        <w:gridCol w:w="149"/>
        <w:gridCol w:w="1493"/>
        <w:gridCol w:w="60"/>
        <w:gridCol w:w="1040"/>
        <w:gridCol w:w="60"/>
        <w:gridCol w:w="173"/>
        <w:gridCol w:w="1086"/>
      </w:tblGrid>
      <w:tr>
        <w:trPr/>
        <w:tc>
          <w:tcPr>
            <w:tcW w:w="8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 </w:t>
            </w:r>
          </w:p>
        </w:tc>
        <w:tc>
          <w:tcPr>
            <w:tcW w:w="8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4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left"/>
              <w:rPr/>
            </w:pPr>
            <w:r>
              <w:rPr/>
              <w:t> </w:t>
            </w:r>
          </w:p>
        </w:tc>
      </w:tr>
      <w:tr>
        <w:trPr/>
        <w:tc>
          <w:tcPr>
            <w:tcW w:w="844"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1082"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21"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070"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1092"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642"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259"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8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 </w:t>
            </w:r>
          </w:p>
        </w:tc>
        <w:tc>
          <w:tcPr>
            <w:tcW w:w="8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4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left"/>
              <w:rPr/>
            </w:pPr>
            <w:r>
              <w:rPr/>
              <w:t> </w:t>
            </w:r>
          </w:p>
        </w:tc>
      </w:tr>
      <w:tr>
        <w:trPr/>
        <w:tc>
          <w:tcPr>
            <w:tcW w:w="844"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082" w:type="dxa"/>
            <w:tcBorders/>
            <w:vAlign w:val="center"/>
          </w:tcPr>
          <w:p>
            <w:pPr>
              <w:pStyle w:val="TableContents"/>
              <w:bidi w:val="0"/>
              <w:spacing w:before="0" w:after="283"/>
              <w:jc w:val="left"/>
              <w:rPr/>
            </w:pPr>
            <w:r>
              <w:rPr/>
              <w:t>Common stock, par value $0.0001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right"/>
              <w:rPr/>
            </w:pPr>
            <w:r>
              <w:rPr/>
              <w:t>6,750,000</w:t>
            </w:r>
          </w:p>
        </w:tc>
        <w:tc>
          <w:tcPr>
            <w:tcW w:w="6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w:t>
            </w:r>
          </w:p>
        </w:tc>
        <w:tc>
          <w:tcPr>
            <w:tcW w:w="829" w:type="dxa"/>
            <w:tcBorders/>
            <w:vAlign w:val="center"/>
          </w:tcPr>
          <w:p>
            <w:pPr>
              <w:pStyle w:val="TableContents"/>
              <w:bidi w:val="0"/>
              <w:spacing w:before="0" w:after="283"/>
              <w:jc w:val="right"/>
              <w:rPr/>
            </w:pPr>
            <w:r>
              <w:rPr/>
              <w:t>2.08</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w:t>
            </w:r>
          </w:p>
        </w:tc>
        <w:tc>
          <w:tcPr>
            <w:tcW w:w="1493" w:type="dxa"/>
            <w:tcBorders/>
            <w:vAlign w:val="center"/>
          </w:tcPr>
          <w:p>
            <w:pPr>
              <w:pStyle w:val="TableContents"/>
              <w:bidi w:val="0"/>
              <w:spacing w:before="0" w:after="283"/>
              <w:jc w:val="right"/>
              <w:rPr/>
            </w:pPr>
            <w:r>
              <w:rPr/>
              <w:t>14,040,000.00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w:t>
            </w:r>
          </w:p>
        </w:tc>
        <w:tc>
          <w:tcPr>
            <w:tcW w:w="1086" w:type="dxa"/>
            <w:tcBorders/>
            <w:vAlign w:val="center"/>
          </w:tcPr>
          <w:p>
            <w:pPr>
              <w:pStyle w:val="TableContents"/>
              <w:bidi w:val="0"/>
              <w:spacing w:before="0" w:after="283"/>
              <w:jc w:val="right"/>
              <w:rPr/>
            </w:pPr>
            <w:r>
              <w:rPr/>
              <w:t>1,938.93</w:t>
            </w:r>
          </w:p>
        </w:tc>
      </w:tr>
      <w:tr>
        <w:trPr/>
        <w:tc>
          <w:tcPr>
            <w:tcW w:w="8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 </w:t>
            </w:r>
          </w:p>
        </w:tc>
        <w:tc>
          <w:tcPr>
            <w:tcW w:w="8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bottom w:val="single" w:sz="8" w:space="0" w:color="000000"/>
            </w:tcBorders>
            <w:tcMar>
              <w:bottom w:w="28" w:type="dxa"/>
            </w:tcMar>
            <w:vAlign w:val="center"/>
          </w:tcPr>
          <w:p>
            <w:pPr>
              <w:pStyle w:val="TableContents"/>
              <w:bidi w:val="0"/>
              <w:spacing w:before="0" w:after="283"/>
              <w:jc w:val="left"/>
              <w:rPr/>
            </w:pPr>
            <w:r>
              <w:rPr/>
              <w:t> </w:t>
            </w:r>
          </w:p>
        </w:tc>
        <w:tc>
          <w:tcPr>
            <w:tcW w:w="1493"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bottom w:val="single" w:sz="8" w:space="0" w:color="000000"/>
            </w:tcBorders>
            <w:tcMar>
              <w:bottom w:w="28" w:type="dxa"/>
            </w:tcMar>
            <w:vAlign w:val="center"/>
          </w:tcPr>
          <w:p>
            <w:pPr>
              <w:pStyle w:val="TableContents"/>
              <w:bidi w:val="0"/>
              <w:spacing w:before="0" w:after="283"/>
              <w:jc w:val="left"/>
              <w:rPr/>
            </w:pPr>
            <w:r>
              <w:rPr/>
              <w:t> </w:t>
            </w:r>
          </w:p>
        </w:tc>
        <w:tc>
          <w:tcPr>
            <w:tcW w:w="1086"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084" w:type="dxa"/>
            <w:gridSpan w:val="12"/>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w:t>
            </w:r>
          </w:p>
        </w:tc>
        <w:tc>
          <w:tcPr>
            <w:tcW w:w="1493" w:type="dxa"/>
            <w:tcBorders/>
            <w:vAlign w:val="center"/>
          </w:tcPr>
          <w:p>
            <w:pPr>
              <w:pStyle w:val="TableContents"/>
              <w:bidi w:val="0"/>
              <w:spacing w:before="0" w:after="283"/>
              <w:jc w:val="right"/>
              <w:rPr/>
            </w:pPr>
            <w:r>
              <w:rPr/>
              <w:t>14,040,000.00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right"/>
              <w:rPr/>
            </w:pPr>
            <w:r>
              <w:rPr/>
              <w:t>1,938.93</w:t>
            </w:r>
          </w:p>
        </w:tc>
      </w:tr>
      <w:tr>
        <w:trPr/>
        <w:tc>
          <w:tcPr>
            <w:tcW w:w="6084" w:type="dxa"/>
            <w:gridSpan w:val="12"/>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4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bottom w:val="single" w:sz="8" w:space="0" w:color="000000"/>
            </w:tcBorders>
            <w:tcMar>
              <w:bottom w:w="28" w:type="dxa"/>
            </w:tcMar>
            <w:vAlign w:val="center"/>
          </w:tcPr>
          <w:p>
            <w:pPr>
              <w:pStyle w:val="TableContents"/>
              <w:bidi w:val="0"/>
              <w:spacing w:before="0" w:after="283"/>
              <w:jc w:val="left"/>
              <w:rPr/>
            </w:pPr>
            <w:r>
              <w:rPr/>
              <w:t> </w:t>
            </w:r>
          </w:p>
        </w:tc>
        <w:tc>
          <w:tcPr>
            <w:tcW w:w="1086"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084" w:type="dxa"/>
            <w:gridSpan w:val="12"/>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4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bottom w:val="double" w:sz="8" w:space="0" w:color="000000"/>
            </w:tcBorders>
            <w:tcMar>
              <w:bottom w:w="28" w:type="dxa"/>
            </w:tcMar>
            <w:vAlign w:val="center"/>
          </w:tcPr>
          <w:p>
            <w:pPr>
              <w:pStyle w:val="TableContents"/>
              <w:bidi w:val="0"/>
              <w:spacing w:before="0" w:after="283"/>
              <w:jc w:val="left"/>
              <w:rPr/>
            </w:pPr>
            <w:r>
              <w:rPr/>
              <w:t>$</w:t>
            </w:r>
          </w:p>
        </w:tc>
        <w:tc>
          <w:tcPr>
            <w:tcW w:w="1086" w:type="dxa"/>
            <w:tcBorders>
              <w:bottom w:val="double" w:sz="8" w:space="0" w:color="000000"/>
            </w:tcBorders>
            <w:tcMar>
              <w:bottom w:w="28" w:type="dxa"/>
            </w:tcMar>
            <w:vAlign w:val="center"/>
          </w:tcPr>
          <w:p>
            <w:pPr>
              <w:pStyle w:val="TableContents"/>
              <w:bidi w:val="0"/>
              <w:spacing w:before="0" w:after="283"/>
              <w:jc w:val="right"/>
              <w:rPr/>
            </w:pPr>
            <w:r>
              <w:rPr/>
              <w:t>1,938.93</w:t>
            </w:r>
          </w:p>
        </w:tc>
      </w:tr>
    </w:tbl>
    <w:p>
      <w:pPr>
        <w:pStyle w:val="TextBody"/>
        <w:bidi w:val="0"/>
        <w:spacing w:before="0" w:after="0"/>
        <w:jc w:val="left"/>
        <w:rPr>
          <w:caps w:val="false"/>
          <w:smallCaps w:val="false"/>
          <w:color w:val="3265FF"/>
        </w:rPr>
      </w:pPr>
      <w:r>
        <w:rPr>
          <w:caps w:val="false"/>
          <w:smallCaps w:val="false"/>
          <w:color w:val="3265FF"/>
        </w:rPr>
        <w:t> </w:t>
      </w:r>
    </w:p>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41"/>
        <w:gridCol w:w="23"/>
        <w:gridCol w:w="9941"/>
      </w:tblGrid>
      <w:tr>
        <w:trPr/>
        <w:tc>
          <w:tcPr>
            <w:tcW w:w="241"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41" w:type="dxa"/>
            <w:tcBorders/>
            <w:vAlign w:val="center"/>
          </w:tcPr>
          <w:p>
            <w:pPr>
              <w:pStyle w:val="TableContents"/>
              <w:bidi w:val="0"/>
              <w:spacing w:before="0" w:after="283"/>
              <w:jc w:val="both"/>
              <w:rPr/>
            </w:pPr>
            <w:r>
              <w:rPr/>
              <w:t>Pursuant to Rule 416(a) under the Securities Act of 1933, as amended (the “Securities Act”), this registration statement shall also cover any additional shares of common stock, par value $0.0001 per share (the “Common Stock”) of AEye, Inc. (the “Registrant”) that may become issuable under the terms of the Amended and Restated AEye, Inc. 2021 Equity Incentive Plan (the “2021 EIP”), as applicable, by reason of any share split, share dividend, recapitalization or other similar transaction effected without the Registrant’s receipt of consideration which results in an increase in the number of the outstanding shares of Common Stock.</w:t>
              <w:br/>
              <w:br/>
              <w:t>Estimated pursuant to Rules 457(c) and 457(h) under the Securities Act, solely for the purposes of calculating the registration fee and based on the average of the high and low prices of the Common Stock as reported on The Nasdaq Stock Market LLC on May 14, 2026, which date is within five business days prior to the filing of this registration statement.</w:t>
              <w:br/>
              <w:br/>
              <w:t>Represents the additional shares of the Common Stock reserved for issuance under the 2021 EIP following the amendment and restatement to the 2021 EIP to increase the number of shares issuable under the 2021 EIP that was approved by the Registrant’s stockholders on, and became effective as of, May 12, 2026.</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18644/000121390026003024/ea0272330-s8_aeye.htm" TargetMode="External"/><Relationship Id="rId3" Type="http://schemas.openxmlformats.org/officeDocument/2006/relationships/hyperlink" Target="https://www.sec.gov/Archives/edgar/data/1818644/000094787125000356/ss4655951_s8.htm" TargetMode="External"/><Relationship Id="rId4" Type="http://schemas.openxmlformats.org/officeDocument/2006/relationships/hyperlink" Target="https://www.sec.gov/Archives/edgar/data/1818644/000094787124000571/ss3524033_s8.htm" TargetMode="External"/><Relationship Id="rId5" Type="http://schemas.openxmlformats.org/officeDocument/2006/relationships/hyperlink" Target="https://www.sec.gov/Archives/edgar/data/1818644/000094787123000668/ss2160288_s8.htm" TargetMode="External"/><Relationship Id="rId6" Type="http://schemas.openxmlformats.org/officeDocument/2006/relationships/hyperlink" Target="https://www.sec.gov/Archives/edgar/data/1818644/000094787123000348/ss1888179_s8.htm" TargetMode="External"/><Relationship Id="rId7" Type="http://schemas.openxmlformats.org/officeDocument/2006/relationships/hyperlink" Target="https://www.sec.gov/Archives/edgar/data/1818644/000094787122000625/ss1020150_s8.htm" TargetMode="External"/><Relationship Id="rId8" Type="http://schemas.openxmlformats.org/officeDocument/2006/relationships/hyperlink" Target="https://www.sec.gov/Archives/edgar/data/1818644/000119312521313455/d253196ds8.htm" TargetMode="External"/><Relationship Id="rId9" Type="http://schemas.openxmlformats.org/officeDocument/2006/relationships/hyperlink" Target="http://www.sec.gov/ix?doc=/Archives/edgar/data/1818644/000143774926008858/lidr20251231_10k.htm" TargetMode="External"/><Relationship Id="rId10" Type="http://schemas.openxmlformats.org/officeDocument/2006/relationships/hyperlink" Target="http://www.sec.gov/Archives/edgar/data/1818644/000181864422000008/exhibit45descriptionofsecu.htm" TargetMode="External"/><Relationship Id="rId11" Type="http://schemas.openxmlformats.org/officeDocument/2006/relationships/hyperlink" Target="http://www.sec.gov/ix?doc=/Archives/edgar/data/1818644/000143774926017094/lidr20260331_10q.htm" TargetMode="External"/><Relationship Id="rId12" Type="http://schemas.openxmlformats.org/officeDocument/2006/relationships/hyperlink" Target="https://www.sec.gov/ix?doc=/Archives/edgar/data/1818644/000121390026014883/ea0276284-8k_aeye.htm" TargetMode="External"/><Relationship Id="rId13" Type="http://schemas.openxmlformats.org/officeDocument/2006/relationships/hyperlink" Target="http://www.sec.gov/ix?doc=/Archives/edgar/data/1818644/000121390026028340/ea0281663-8k_aeye.htm" TargetMode="External"/><Relationship Id="rId14" Type="http://schemas.openxmlformats.org/officeDocument/2006/relationships/hyperlink" Target="https://www.sec.gov/ix?doc=/Archives/edgar/data/1818644/000121390026052513/ea0289169-8k_aeye.htm" TargetMode="External"/><Relationship Id="rId15" Type="http://schemas.openxmlformats.org/officeDocument/2006/relationships/hyperlink" Target="https://www.sec.gov/ix?doc=/Archives/edgar/data/1818644/000121390026055184/ea0290443-8k_aeye.htm" TargetMode="External"/><Relationship Id="rId16" Type="http://schemas.openxmlformats.org/officeDocument/2006/relationships/hyperlink" Target="https://www.sec.gov/ix?doc=/Archives/edgar/data/1818644/000121390026057703/ea0290918-8k_aeye.htm" TargetMode="External"/><Relationship Id="rId17" Type="http://schemas.openxmlformats.org/officeDocument/2006/relationships/hyperlink" Target="https://www.sec.gov/Archives/edgar/data/1818644/000119312521253301/d188241dex31.htm" TargetMode="External"/><Relationship Id="rId18" Type="http://schemas.openxmlformats.org/officeDocument/2006/relationships/hyperlink" Target="https://www.sec.gov/Archives/edgar/data/1818644/000181864423000006/exhibit32amendmentofcertif.htm" TargetMode="External"/><Relationship Id="rId19" Type="http://schemas.openxmlformats.org/officeDocument/2006/relationships/hyperlink" Target="https://www.sec.gov/Archives/edgar/data/1818644/000094787125000292/ss4549215_ex0301.htm" TargetMode="External"/><Relationship Id="rId20" Type="http://schemas.openxmlformats.org/officeDocument/2006/relationships/image" Target="media/image1.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4018</Words>
  <Characters>21233</Characters>
  <CharactersWithSpaces>25411</CharactersWithSpaces>
  <Paragraphs>630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