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s6342442_s3.htm"/>
      <w:bookmarkStart w:id="1" w:name="ksss6342442_s3"/>
      <w:bookmarkStart w:id="2" w:name="ss6342442_s3.htm"/>
      <w:bookmarkStart w:id="3" w:name="ksss6342442_s3"/>
      <w:bookmarkEnd w:id="2"/>
      <w:bookmarkEnd w:id="3"/>
    </w:p>
    <w:tbl>
      <w:tblPr>
        <w:tblW w:w="9475" w:type="dxa"/>
        <w:jc w:val="left"/>
        <w:tblInd w:w="0" w:type="dxa"/>
        <w:tblLayout w:type="fixed"/>
        <w:tblCellMar>
          <w:top w:w="0" w:type="dxa"/>
          <w:left w:w="0" w:type="dxa"/>
          <w:bottom w:w="0" w:type="dxa"/>
          <w:right w:w="0" w:type="dxa"/>
        </w:tblCellMar>
      </w:tblPr>
      <w:tblGrid>
        <w:gridCol w:w="7280"/>
        <w:gridCol w:w="2195"/>
      </w:tblGrid>
      <w:tr>
        <w:trPr/>
        <w:tc>
          <w:tcPr>
            <w:tcW w:w="7280" w:type="dxa"/>
            <w:tcBorders/>
            <w:vAlign w:val="center"/>
          </w:tcPr>
          <w:p>
            <w:pPr>
              <w:pStyle w:val="TableContents"/>
              <w:bidi w:val="0"/>
              <w:spacing w:before="0" w:after="283"/>
              <w:jc w:val="center"/>
              <w:rPr>
                <w:b/>
              </w:rPr>
            </w:pPr>
            <w:r>
              <w:rPr>
                <w:b/>
              </w:rPr>
              <w:t>As filed with the Securities and Exchange Commission on May 19, 2026</w:t>
            </w:r>
          </w:p>
        </w:tc>
        <w:tc>
          <w:tcPr>
            <w:tcW w:w="2195" w:type="dxa"/>
            <w:tcBorders/>
            <w:vAlign w:val="center"/>
          </w:tcPr>
          <w:p>
            <w:pPr>
              <w:pStyle w:val="TableContents"/>
              <w:bidi w:val="0"/>
              <w:spacing w:before="0" w:after="283"/>
              <w:jc w:val="right"/>
              <w:rPr>
                <w:b/>
              </w:rPr>
            </w:pPr>
            <w:r>
              <w:rPr>
                <w:b/>
              </w:rPr>
              <w:t>Registration No. 333-</w:t>
            </w:r>
          </w:p>
        </w:tc>
      </w:tr>
    </w:tbl>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spacing w:val="0"/>
        </w:rPr>
      </w:pPr>
      <w:r>
        <w:rPr>
          <w:caps w:val="false"/>
          <w:smallCaps w:val="false"/>
          <w:spacing w:val="0"/>
        </w:rPr>
        <w:t> </w:t>
      </w:r>
    </w:p>
    <w:p>
      <w:pPr>
        <w:pStyle w:val="TextBody"/>
        <w:bidi w:val="0"/>
        <w:jc w:val="center"/>
        <w:rPr>
          <w:caps w:val="false"/>
          <w:smallCaps w:val="false"/>
          <w:spacing w:val="0"/>
        </w:rPr>
      </w:pPr>
      <w:r>
        <w:rPr>
          <w:caps w:val="false"/>
          <w:smallCaps w:val="false"/>
          <w:spacing w:val="0"/>
        </w:rPr>
        <w:t> </w:t>
      </w:r>
    </w:p>
    <w:p>
      <w:pPr>
        <w:pStyle w:val="TextBody"/>
        <w:bidi w:val="0"/>
        <w:jc w:val="center"/>
        <w:rPr>
          <w:rFonts w:ascii="Times New Roman;Times;Serif" w:hAnsi="Times New Roman;Times;Serif"/>
          <w:b/>
          <w:i w:val="false"/>
          <w:caps w:val="false"/>
          <w:smallCaps w:val="false"/>
          <w:spacing w:val="0"/>
          <w:sz w:val="24"/>
        </w:rPr>
      </w:pPr>
      <w:r>
        <w:rPr>
          <w:rFonts w:ascii="Times New Roman;Times;Serif" w:hAnsi="Times New Roman;Times;Serif"/>
          <w:b/>
          <w:i w:val="false"/>
          <w:caps w:val="false"/>
          <w:smallCaps w:val="false"/>
          <w:spacing w:val="0"/>
          <w:sz w:val="24"/>
        </w:rPr>
        <w:t>UNITED STATES</w:t>
      </w:r>
    </w:p>
    <w:p>
      <w:pPr>
        <w:pStyle w:val="TextBody"/>
        <w:bidi w:val="0"/>
        <w:jc w:val="center"/>
        <w:rPr>
          <w:rFonts w:ascii="Times New Roman;Times;Serif" w:hAnsi="Times New Roman;Times;Serif"/>
          <w:b/>
          <w:i w:val="false"/>
          <w:caps w:val="false"/>
          <w:smallCaps w:val="false"/>
          <w:spacing w:val="0"/>
          <w:sz w:val="24"/>
        </w:rPr>
      </w:pPr>
      <w:r>
        <w:rPr>
          <w:rFonts w:ascii="Times New Roman;Times;Serif" w:hAnsi="Times New Roman;Times;Serif"/>
          <w:b/>
          <w:i w:val="false"/>
          <w:caps w:val="false"/>
          <w:smallCaps w:val="false"/>
          <w:spacing w:val="0"/>
          <w:sz w:val="24"/>
        </w:rPr>
        <w:t>SECURITIES AND EXCHANGE COMMISSION</w:t>
      </w:r>
    </w:p>
    <w:p>
      <w:pPr>
        <w:pStyle w:val="TextBody"/>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WASHINGTON, D.C. 20549</w:t>
      </w:r>
    </w:p>
    <w:p>
      <w:pPr>
        <w:pStyle w:val="TextBody"/>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w:t>
      </w:r>
    </w:p>
    <w:p>
      <w:pPr>
        <w:pStyle w:val="TextBody"/>
        <w:bidi w:val="0"/>
        <w:jc w:val="center"/>
        <w:rPr>
          <w:caps w:val="false"/>
          <w:smallCaps w:val="false"/>
          <w:spacing w:val="0"/>
        </w:rPr>
      </w:pPr>
      <w:r>
        <w:rPr>
          <w:caps w:val="false"/>
          <w:smallCaps w:val="false"/>
          <w:spacing w:val="0"/>
        </w:rPr>
        <w:t> </w:t>
      </w:r>
    </w:p>
    <w:p>
      <w:pPr>
        <w:pStyle w:val="TextBody"/>
        <w:bidi w:val="0"/>
        <w:jc w:val="center"/>
        <w:rPr>
          <w:rFonts w:ascii="Times New Roman;Times;Serif" w:hAnsi="Times New Roman;Times;Serif"/>
          <w:b/>
          <w:i w:val="false"/>
          <w:caps w:val="false"/>
          <w:smallCaps w:val="false"/>
          <w:spacing w:val="0"/>
          <w:sz w:val="24"/>
        </w:rPr>
      </w:pPr>
      <w:r>
        <w:rPr>
          <w:rFonts w:ascii="Times New Roman;Times;Serif" w:hAnsi="Times New Roman;Times;Serif"/>
          <w:b/>
          <w:i w:val="false"/>
          <w:caps w:val="false"/>
          <w:smallCaps w:val="false"/>
          <w:spacing w:val="0"/>
          <w:sz w:val="24"/>
        </w:rPr>
        <w:t>FORM S-3</w:t>
      </w:r>
    </w:p>
    <w:p>
      <w:pPr>
        <w:pStyle w:val="TextBody"/>
        <w:bidi w:val="0"/>
        <w:jc w:val="center"/>
        <w:rPr>
          <w:rFonts w:ascii="Times New Roman;Times;Serif" w:hAnsi="Times New Roman;Times;Serif"/>
          <w:b/>
          <w:i w:val="false"/>
          <w:caps w:val="false"/>
          <w:smallCaps w:val="false"/>
          <w:spacing w:val="0"/>
          <w:sz w:val="24"/>
        </w:rPr>
      </w:pPr>
      <w:r>
        <w:rPr>
          <w:rFonts w:ascii="Times New Roman;Times;Serif" w:hAnsi="Times New Roman;Times;Serif"/>
          <w:b/>
          <w:i w:val="false"/>
          <w:caps w:val="false"/>
          <w:smallCaps w:val="false"/>
          <w:spacing w:val="0"/>
          <w:sz w:val="24"/>
        </w:rPr>
        <w:t>REGISTRATION STATEMENT</w:t>
      </w:r>
    </w:p>
    <w:p>
      <w:pPr>
        <w:pStyle w:val="TextBody"/>
        <w:bidi w:val="0"/>
        <w:jc w:val="center"/>
        <w:rPr>
          <w:rFonts w:ascii="Times New Roman;Times;Serif" w:hAnsi="Times New Roman;Times;Serif"/>
          <w:b/>
          <w:i/>
          <w:caps w:val="false"/>
          <w:smallCaps w:val="false"/>
          <w:spacing w:val="0"/>
          <w:sz w:val="20"/>
        </w:rPr>
      </w:pPr>
      <w:r>
        <w:rPr>
          <w:rFonts w:ascii="Times New Roman;Times;Serif" w:hAnsi="Times New Roman;Times;Serif"/>
          <w:b/>
          <w:i/>
          <w:caps w:val="false"/>
          <w:smallCaps w:val="false"/>
          <w:spacing w:val="0"/>
          <w:sz w:val="20"/>
        </w:rPr>
        <w:t>UNDER</w:t>
      </w:r>
    </w:p>
    <w:p>
      <w:pPr>
        <w:pStyle w:val="TextBody"/>
        <w:bidi w:val="0"/>
        <w:jc w:val="center"/>
        <w:rPr>
          <w:rFonts w:ascii="Times New Roman;Times;Serif" w:hAnsi="Times New Roman;Times;Serif"/>
          <w:b/>
          <w:i/>
          <w:caps w:val="false"/>
          <w:smallCaps w:val="false"/>
          <w:spacing w:val="0"/>
          <w:sz w:val="20"/>
        </w:rPr>
      </w:pPr>
      <w:r>
        <w:rPr>
          <w:rFonts w:ascii="Times New Roman;Times;Serif" w:hAnsi="Times New Roman;Times;Serif"/>
          <w:b/>
          <w:i/>
          <w:caps w:val="false"/>
          <w:smallCaps w:val="false"/>
          <w:spacing w:val="0"/>
          <w:sz w:val="20"/>
        </w:rPr>
        <w:t>THE SECURITIES ACT OF 1933</w:t>
      </w:r>
    </w:p>
    <w:p>
      <w:pPr>
        <w:pStyle w:val="TextBody"/>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w:t>
      </w:r>
    </w:p>
    <w:p>
      <w:pPr>
        <w:pStyle w:val="TextBody"/>
        <w:bidi w:val="0"/>
        <w:jc w:val="center"/>
        <w:rPr>
          <w:caps w:val="false"/>
          <w:smallCaps w:val="false"/>
          <w:spacing w:val="0"/>
        </w:rPr>
      </w:pPr>
      <w:r>
        <w:rPr>
          <w:caps w:val="false"/>
          <w:smallCaps w:val="false"/>
          <w:spacing w:val="0"/>
        </w:rPr>
        <w:t> </w:t>
      </w:r>
    </w:p>
    <w:tbl>
      <w:tblPr>
        <w:tblW w:w="4400" w:type="dxa"/>
        <w:jc w:val="left"/>
        <w:tblInd w:w="0" w:type="dxa"/>
        <w:tblLayout w:type="fixed"/>
        <w:tblCellMar>
          <w:top w:w="0" w:type="dxa"/>
          <w:left w:w="0" w:type="dxa"/>
          <w:bottom w:w="0" w:type="dxa"/>
          <w:right w:w="0" w:type="dxa"/>
        </w:tblCellMar>
      </w:tblPr>
      <w:tblGrid>
        <w:gridCol w:w="4400"/>
      </w:tblGrid>
      <w:tr>
        <w:trPr/>
        <w:tc>
          <w:tcPr>
            <w:tcW w:w="4400" w:type="dxa"/>
            <w:tcBorders/>
            <w:vAlign w:val="center"/>
          </w:tcPr>
          <w:p>
            <w:pPr>
              <w:pStyle w:val="TableContents"/>
              <w:bidi w:val="0"/>
              <w:spacing w:before="0" w:after="283"/>
              <w:jc w:val="center"/>
              <w:rPr>
                <w:rFonts w:ascii="Times New Roman;Times;Serif" w:hAnsi="Times New Roman;Times;Serif"/>
                <w:b/>
                <w:i w:val="false"/>
                <w:caps w:val="false"/>
                <w:smallCaps w:val="false"/>
                <w:spacing w:val="0"/>
                <w:sz w:val="36"/>
              </w:rPr>
            </w:pPr>
            <w:r>
              <w:rPr>
                <w:rFonts w:ascii="Times New Roman;Times;Serif" w:hAnsi="Times New Roman;Times;Serif"/>
                <w:b/>
                <w:i w:val="false"/>
                <w:caps w:val="false"/>
                <w:smallCaps w:val="false"/>
                <w:spacing w:val="0"/>
                <w:sz w:val="36"/>
              </w:rPr>
              <w:t xml:space="preserve">AEYE, INC. </w:t>
            </w:r>
          </w:p>
        </w:tc>
      </w:tr>
      <w:tr>
        <w:trPr/>
        <w:tc>
          <w:tcPr>
            <w:tcW w:w="4400" w:type="dxa"/>
            <w:tcBorders/>
            <w:vAlign w:val="center"/>
          </w:tcPr>
          <w:p>
            <w:pPr>
              <w:pStyle w:val="TableContents"/>
              <w:bidi w:val="0"/>
              <w:spacing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(Exact name of registrant as specified in its charter)</w:t>
            </w:r>
          </w:p>
        </w:tc>
      </w:tr>
    </w:tbl>
    <w:p>
      <w:pPr>
        <w:pStyle w:val="TextBody"/>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w:t>
      </w:r>
    </w:p>
    <w:p>
      <w:pPr>
        <w:pStyle w:val="TextBody"/>
        <w:bidi w:val="0"/>
        <w:jc w:val="both"/>
        <w:rPr>
          <w:caps w:val="false"/>
          <w:smallCaps w:val="false"/>
          <w:spacing w:val="0"/>
        </w:rPr>
      </w:pPr>
      <w:r>
        <w:rPr>
          <w:caps w:val="false"/>
          <w:smallCaps w:val="false"/>
          <w:spacing w:val="0"/>
        </w:rPr>
        <w:t> </w:t>
      </w:r>
    </w:p>
    <w:tbl>
      <w:tblPr>
        <w:tblW w:w="7950" w:type="dxa"/>
        <w:jc w:val="left"/>
        <w:tblInd w:w="0" w:type="dxa"/>
        <w:tblLayout w:type="fixed"/>
        <w:tblCellMar>
          <w:top w:w="0" w:type="dxa"/>
          <w:left w:w="0" w:type="dxa"/>
          <w:bottom w:w="0" w:type="dxa"/>
          <w:right w:w="0" w:type="dxa"/>
        </w:tblCellMar>
      </w:tblPr>
      <w:tblGrid>
        <w:gridCol w:w="2660"/>
        <w:gridCol w:w="3725"/>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3714</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37-1827430</w:t>
            </w:r>
          </w:p>
        </w:tc>
      </w:tr>
      <w:tr>
        <w:trPr/>
        <w:tc>
          <w:tcPr>
            <w:tcW w:w="26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372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 Classification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Number)</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jc w:val="both"/>
        <w:rPr>
          <w:caps w:val="false"/>
          <w:smallCaps w:val="false"/>
          <w:spacing w:val="0"/>
        </w:rPr>
      </w:pPr>
      <w:r>
        <w:rPr>
          <w:caps w:val="false"/>
          <w:smallCaps w:val="false"/>
          <w:spacing w:val="0"/>
        </w:rPr>
        <w:t> </w:t>
      </w:r>
    </w:p>
    <w:tbl>
      <w:tblPr>
        <w:tblW w:w="8690" w:type="dxa"/>
        <w:jc w:val="left"/>
        <w:tblInd w:w="0" w:type="dxa"/>
        <w:tblLayout w:type="fixed"/>
        <w:tblCellMar>
          <w:top w:w="0" w:type="dxa"/>
          <w:left w:w="0" w:type="dxa"/>
          <w:bottom w:w="0" w:type="dxa"/>
          <w:right w:w="0" w:type="dxa"/>
        </w:tblCellMar>
      </w:tblPr>
      <w:tblGrid>
        <w:gridCol w:w="8690"/>
      </w:tblGrid>
      <w:tr>
        <w:trPr/>
        <w:tc>
          <w:tcPr>
            <w:tcW w:w="8690" w:type="dxa"/>
            <w:tcBorders/>
            <w:vAlign w:val="center"/>
          </w:tcPr>
          <w:p>
            <w:pPr>
              <w:pStyle w:val="TableContents"/>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4670 Willow Road, Suite 125</w:t>
              <w:br/>
              <w:t>Pleasanton, CA 94588</w:t>
              <w:br/>
              <w:t>(925) 400-4366</w:t>
            </w:r>
          </w:p>
          <w:p>
            <w:pPr>
              <w:pStyle w:val="TableContents"/>
              <w:bidi w:val="0"/>
              <w:spacing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(Address, including zip code, and telephone number, including area code, of principal executive offices)</w:t>
            </w:r>
          </w:p>
        </w:tc>
      </w:tr>
      <w:tr>
        <w:trPr/>
        <w:tc>
          <w:tcPr>
            <w:tcW w:w="8690" w:type="dxa"/>
            <w:tcBorders/>
            <w:vAlign w:val="center"/>
          </w:tcPr>
          <w:p>
            <w:pPr>
              <w:pStyle w:val="TableContents"/>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w:t>
            </w:r>
          </w:p>
          <w:p>
            <w:pPr>
              <w:pStyle w:val="TableContents"/>
              <w:bidi w:val="0"/>
              <w:spacing w:before="0" w:after="283"/>
              <w:jc w:val="left"/>
              <w:rPr>
                <w:caps w:val="false"/>
                <w:smallCaps w:val="false"/>
                <w:spacing w:val="0"/>
              </w:rPr>
            </w:pPr>
            <w:r>
              <w:rPr>
                <w:caps w:val="false"/>
                <w:smallCaps w:val="false"/>
                <w:spacing w:val="0"/>
              </w:rPr>
              <w:t> </w:t>
            </w:r>
          </w:p>
        </w:tc>
      </w:tr>
      <w:tr>
        <w:trPr/>
        <w:tc>
          <w:tcPr>
            <w:tcW w:w="8690" w:type="dxa"/>
            <w:tcBorders/>
            <w:vAlign w:val="center"/>
          </w:tcPr>
          <w:p>
            <w:pPr>
              <w:pStyle w:val="TableContents"/>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Matthew Fisch</w:t>
            </w:r>
          </w:p>
          <w:p>
            <w:pPr>
              <w:pStyle w:val="TableContents"/>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 xml:space="preserve">Chief Executive Officer </w:t>
            </w:r>
          </w:p>
          <w:p>
            <w:pPr>
              <w:pStyle w:val="TableContents"/>
              <w:bidi w:val="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4670 Willow Road, Suite 125</w:t>
              <w:br/>
              <w:t>Pleasanton, CA 94588</w:t>
              <w:br/>
              <w:t>(925) 400-4366</w:t>
            </w:r>
          </w:p>
          <w:p>
            <w:pPr>
              <w:pStyle w:val="TableContents"/>
              <w:bidi w:val="0"/>
              <w:spacing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(Name, address, including zip code, and telephone number, including area code, of agent for service)</w:t>
            </w:r>
          </w:p>
        </w:tc>
      </w:tr>
      <w:tr>
        <w:trPr/>
        <w:tc>
          <w:tcPr>
            <w:tcW w:w="8690" w:type="dxa"/>
            <w:tcBorders/>
            <w:vAlign w:val="center"/>
          </w:tcPr>
          <w:p>
            <w:pPr>
              <w:pStyle w:val="TableContents"/>
              <w:bidi w:val="0"/>
              <w:spacing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________________________</w:t>
            </w:r>
          </w:p>
        </w:tc>
      </w:tr>
      <w:tr>
        <w:trPr/>
        <w:tc>
          <w:tcPr>
            <w:tcW w:w="8690" w:type="dxa"/>
            <w:tcBorders/>
            <w:vAlign w:val="center"/>
          </w:tcPr>
          <w:p>
            <w:pPr>
              <w:pStyle w:val="TableContents"/>
              <w:bidi w:val="0"/>
              <w:jc w:val="left"/>
              <w:rPr>
                <w:caps w:val="false"/>
                <w:smallCaps w:val="false"/>
                <w:spacing w:val="0"/>
              </w:rPr>
            </w:pPr>
            <w:r>
              <w:rPr>
                <w:caps w:val="false"/>
                <w:smallCaps w:val="false"/>
                <w:spacing w:val="0"/>
              </w:rPr>
              <w:t> </w:t>
            </w:r>
          </w:p>
          <w:p>
            <w:pPr>
              <w:pStyle w:val="TableContents"/>
              <w:bidi w:val="0"/>
              <w:jc w:val="center"/>
              <w:rPr>
                <w:rFonts w:ascii="Times New Roman;Times;Serif" w:hAnsi="Times New Roman;Times;Serif"/>
                <w:b/>
                <w:i/>
                <w:caps w:val="false"/>
                <w:smallCaps w:val="false"/>
                <w:spacing w:val="0"/>
                <w:sz w:val="20"/>
              </w:rPr>
            </w:pPr>
            <w:r>
              <w:rPr>
                <w:rFonts w:ascii="Times New Roman;Times;Serif" w:hAnsi="Times New Roman;Times;Serif"/>
                <w:b/>
                <w:i/>
                <w:caps w:val="false"/>
                <w:smallCaps w:val="false"/>
                <w:spacing w:val="0"/>
                <w:sz w:val="20"/>
              </w:rPr>
              <w:t>Copies to:</w:t>
            </w:r>
          </w:p>
          <w:p>
            <w:pPr>
              <w:pStyle w:val="TableContents"/>
              <w:bidi w:val="0"/>
              <w:spacing w:before="0" w:after="20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William B. Nelson</w:t>
              <w:br/>
              <w:t>Taylor E. Landry</w:t>
              <w:br/>
              <w:t>Allen Overy Shearman Sterling US LLP</w:t>
              <w:br/>
              <w:t>800 Capitol Street, Suite 2200</w:t>
              <w:br/>
              <w:t>Houston, Texas 77002</w:t>
              <w:br/>
              <w:t>Telephone: (713) 354-4900</w:t>
              <w:br/>
              <w:t>__________________________</w:t>
            </w:r>
          </w:p>
        </w:tc>
      </w:tr>
    </w:tbl>
    <w:p>
      <w:pPr>
        <w:pStyle w:val="TextBody"/>
        <w:bidi w:val="0"/>
        <w:jc w:val="both"/>
        <w:rPr>
          <w:caps w:val="false"/>
          <w:smallCaps w:val="false"/>
          <w:spacing w:val="0"/>
        </w:rPr>
      </w:pPr>
      <w:r>
        <w:rPr>
          <w:caps w:val="false"/>
          <w:smallCaps w:val="false"/>
          <w:spacing w:val="0"/>
        </w:rPr>
        <w:t> </w:t>
      </w:r>
    </w:p>
    <w:p>
      <w:pPr>
        <w:pStyle w:val="TextBody"/>
        <w:bidi w:val="0"/>
        <w:spacing w:lineRule="auto" w:line="242"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Approximate date of commencement of proposed sale to the public:</w:t>
      </w:r>
    </w:p>
    <w:p>
      <w:pPr>
        <w:pStyle w:val="TextBody"/>
        <w:bidi w:val="0"/>
        <w:spacing w:lineRule="auto" w:line="242"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From time to time after this Registration Statement becomes effective.</w:t>
      </w:r>
    </w:p>
    <w:p>
      <w:pPr>
        <w:pStyle w:val="TextBody"/>
        <w:bidi w:val="0"/>
        <w:spacing w:before="30"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the only securities being registered on this Form are being offered pursuant to dividend or interest reinvestment plans, please check the following box. ☐</w:t>
      </w:r>
    </w:p>
    <w:p>
      <w:pPr>
        <w:pStyle w:val="TextBody"/>
        <w:bidi w:val="0"/>
        <w:spacing w:lineRule="auto" w:line="230" w:before="52"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30" w:before="42"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lineRule="auto" w:line="230" w:before="55"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30" w:before="54"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this Form is a registration statement pursuant to General Instruction I.D. a post-effective amendment thereto that shall become effective upon filing with the Commission pursuant to Rule 462(e) under the Securities Act, check the following box. ☐</w:t>
      </w:r>
    </w:p>
    <w:p>
      <w:pPr>
        <w:pStyle w:val="TextBody"/>
        <w:bidi w:val="0"/>
        <w:spacing w:lineRule="auto" w:line="230" w:before="42"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64" w:before="51"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65" w:after="1"/>
        <w:ind w:left="65" w:right="65" w:hanging="0"/>
        <w:jc w:val="left"/>
        <w:rPr>
          <w:caps w:val="false"/>
          <w:smallCaps w:val="false"/>
          <w:spacing w:val="0"/>
        </w:rPr>
      </w:pPr>
      <w:r>
        <w:rPr>
          <w:caps w:val="false"/>
          <w:smallCaps w:val="false"/>
          <w:spacing w:val="0"/>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pacing w:val="0"/>
                <w:sz w:val="20"/>
              </w:rPr>
            </w:pPr>
            <w:r>
              <w:rPr>
                <w:spacing w:val="0"/>
                <w:sz w:val="20"/>
              </w:rPr>
              <w:t>Large accelerated filer</w:t>
            </w:r>
          </w:p>
        </w:tc>
        <w:tc>
          <w:tcPr>
            <w:tcW w:w="230" w:type="dxa"/>
            <w:tcBorders/>
            <w:vAlign w:val="center"/>
          </w:tcPr>
          <w:p>
            <w:pPr>
              <w:pStyle w:val="TableContents"/>
              <w:bidi w:val="0"/>
              <w:spacing w:lineRule="atLeast" w:line="185" w:before="0" w:after="283"/>
              <w:jc w:val="left"/>
              <w:rPr>
                <w:spacing w:val="0"/>
              </w:rPr>
            </w:pPr>
            <w:r>
              <w:rPr>
                <w:spacing w:val="0"/>
              </w:rPr>
              <w:t>☐</w:t>
            </w:r>
          </w:p>
        </w:tc>
        <w:tc>
          <w:tcPr>
            <w:tcW w:w="2225" w:type="dxa"/>
            <w:tcBorders/>
            <w:vAlign w:val="center"/>
          </w:tcPr>
          <w:p>
            <w:pPr>
              <w:pStyle w:val="TableContents"/>
              <w:bidi w:val="0"/>
              <w:spacing w:before="0" w:after="283"/>
              <w:jc w:val="left"/>
              <w:rPr>
                <w:spacing w:val="0"/>
                <w:sz w:val="20"/>
              </w:rPr>
            </w:pPr>
            <w:r>
              <w:rPr>
                <w:spacing w:val="0"/>
                <w:sz w:val="20"/>
              </w:rPr>
              <w:t>Accelerated filer</w:t>
            </w:r>
          </w:p>
        </w:tc>
        <w:tc>
          <w:tcPr>
            <w:tcW w:w="245" w:type="dxa"/>
            <w:tcBorders/>
            <w:vAlign w:val="center"/>
          </w:tcPr>
          <w:p>
            <w:pPr>
              <w:pStyle w:val="TableContents"/>
              <w:bidi w:val="0"/>
              <w:spacing w:lineRule="atLeast" w:line="185" w:before="0" w:after="283"/>
              <w:jc w:val="right"/>
              <w:rPr>
                <w:spacing w:val="0"/>
              </w:rPr>
            </w:pPr>
            <w:r>
              <w:rPr>
                <w:spacing w:val="0"/>
              </w:rPr>
              <w:t>☐</w:t>
            </w:r>
          </w:p>
        </w:tc>
      </w:tr>
      <w:tr>
        <w:trPr/>
        <w:tc>
          <w:tcPr>
            <w:tcW w:w="1835" w:type="dxa"/>
            <w:tcBorders/>
            <w:vAlign w:val="center"/>
          </w:tcPr>
          <w:p>
            <w:pPr>
              <w:pStyle w:val="TableContents"/>
              <w:bidi w:val="0"/>
              <w:spacing w:lineRule="atLeast" w:line="158" w:before="0" w:after="283"/>
              <w:jc w:val="left"/>
              <w:rPr>
                <w:spacing w:val="0"/>
                <w:sz w:val="20"/>
              </w:rPr>
            </w:pPr>
            <w:r>
              <w:rPr>
                <w:spacing w:val="0"/>
                <w:sz w:val="20"/>
              </w:rPr>
              <w:t>Non-accelerated filer</w:t>
            </w:r>
          </w:p>
        </w:tc>
        <w:tc>
          <w:tcPr>
            <w:tcW w:w="230" w:type="dxa"/>
            <w:tcBorders/>
            <w:vAlign w:val="center"/>
          </w:tcPr>
          <w:p>
            <w:pPr>
              <w:pStyle w:val="TableContents"/>
              <w:bidi w:val="0"/>
              <w:spacing w:lineRule="atLeast" w:line="166" w:before="0" w:after="283"/>
              <w:jc w:val="left"/>
              <w:rPr>
                <w:spacing w:val="0"/>
              </w:rPr>
            </w:pPr>
            <w:r>
              <w:rPr>
                <w:spacing w:val="0"/>
              </w:rPr>
              <w:t>☒</w:t>
            </w:r>
          </w:p>
        </w:tc>
        <w:tc>
          <w:tcPr>
            <w:tcW w:w="2225" w:type="dxa"/>
            <w:tcBorders/>
            <w:vAlign w:val="center"/>
          </w:tcPr>
          <w:p>
            <w:pPr>
              <w:pStyle w:val="TableContents"/>
              <w:bidi w:val="0"/>
              <w:spacing w:lineRule="atLeast" w:line="158" w:before="0" w:after="283"/>
              <w:jc w:val="left"/>
              <w:rPr>
                <w:spacing w:val="0"/>
                <w:sz w:val="20"/>
              </w:rPr>
            </w:pPr>
            <w:r>
              <w:rPr>
                <w:spacing w:val="0"/>
                <w:sz w:val="20"/>
              </w:rPr>
              <w:t>Smaller reporting company</w:t>
            </w:r>
          </w:p>
        </w:tc>
        <w:tc>
          <w:tcPr>
            <w:tcW w:w="245" w:type="dxa"/>
            <w:tcBorders/>
            <w:vAlign w:val="center"/>
          </w:tcPr>
          <w:p>
            <w:pPr>
              <w:pStyle w:val="TableContents"/>
              <w:bidi w:val="0"/>
              <w:spacing w:lineRule="atLeast" w:line="166" w:before="0" w:after="283"/>
              <w:jc w:val="right"/>
              <w:rPr>
                <w:spacing w:val="0"/>
              </w:rPr>
            </w:pPr>
            <w:r>
              <w:rPr>
                <w:spacing w:val="0"/>
              </w:rPr>
              <w:t>☒</w:t>
            </w:r>
          </w:p>
        </w:tc>
      </w:tr>
      <w:tr>
        <w:trPr/>
        <w:tc>
          <w:tcPr>
            <w:tcW w:w="1835" w:type="dxa"/>
            <w:tcBorders/>
            <w:vAlign w:val="center"/>
          </w:tcPr>
          <w:p>
            <w:pPr>
              <w:pStyle w:val="TableContents"/>
              <w:bidi w:val="0"/>
              <w:spacing w:lineRule="atLeast" w:line="158" w:before="0" w:after="283"/>
              <w:jc w:val="center"/>
              <w:rPr>
                <w:spacing w:val="0"/>
              </w:rPr>
            </w:pPr>
            <w:r>
              <w:rPr>
                <w:spacing w:val="0"/>
              </w:rPr>
              <w:t> </w:t>
            </w:r>
          </w:p>
        </w:tc>
        <w:tc>
          <w:tcPr>
            <w:tcW w:w="230" w:type="dxa"/>
            <w:tcBorders/>
            <w:vAlign w:val="center"/>
          </w:tcPr>
          <w:p>
            <w:pPr>
              <w:pStyle w:val="TableContents"/>
              <w:bidi w:val="0"/>
              <w:spacing w:lineRule="atLeast" w:line="166" w:before="0" w:after="283"/>
              <w:jc w:val="left"/>
              <w:rPr>
                <w:spacing w:val="0"/>
              </w:rPr>
            </w:pPr>
            <w:r>
              <w:rPr>
                <w:spacing w:val="0"/>
              </w:rPr>
              <w:t> </w:t>
            </w:r>
          </w:p>
        </w:tc>
        <w:tc>
          <w:tcPr>
            <w:tcW w:w="2225" w:type="dxa"/>
            <w:tcBorders/>
            <w:vAlign w:val="center"/>
          </w:tcPr>
          <w:p>
            <w:pPr>
              <w:pStyle w:val="TableContents"/>
              <w:bidi w:val="0"/>
              <w:spacing w:before="0" w:after="283"/>
              <w:jc w:val="left"/>
              <w:rPr>
                <w:spacing w:val="0"/>
                <w:sz w:val="20"/>
              </w:rPr>
            </w:pPr>
            <w:r>
              <w:rPr>
                <w:spacing w:val="0"/>
                <w:sz w:val="20"/>
              </w:rPr>
              <w:t>Emerging growth company</w:t>
            </w:r>
          </w:p>
        </w:tc>
        <w:tc>
          <w:tcPr>
            <w:tcW w:w="245" w:type="dxa"/>
            <w:tcBorders/>
            <w:vAlign w:val="center"/>
          </w:tcPr>
          <w:p>
            <w:pPr>
              <w:pStyle w:val="TableContents"/>
              <w:bidi w:val="0"/>
              <w:spacing w:lineRule="atLeast" w:line="166" w:before="0" w:after="283"/>
              <w:jc w:val="right"/>
              <w:rPr>
                <w:spacing w:val="0"/>
              </w:rPr>
            </w:pPr>
            <w:r>
              <w:rPr>
                <w:spacing w:val="0"/>
              </w:rPr>
              <w:t>☐</w:t>
            </w:r>
          </w:p>
        </w:tc>
      </w:tr>
    </w:tbl>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lineRule="auto" w:line="230" w:before="40" w:after="283"/>
        <w:ind w:left="0" w:right="0" w:firstLine="57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lineRule="auto" w:line="264"/>
        <w:ind w:left="0" w:right="0" w:firstLine="570"/>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(the “Securities Act”), as amended, or until the Registration Statement shall become effective on such date as the Securities and Exchange Commission, acting pursuant to said Section 8(a), may determine.</w:t>
      </w:r>
    </w:p>
    <w:p>
      <w:pPr>
        <w:pStyle w:val="TextBody"/>
        <w:bidi w:val="0"/>
        <w:jc w:val="both"/>
        <w:rPr>
          <w:caps w:val="false"/>
          <w:smallCaps w:val="false"/>
          <w:spacing w:val="0"/>
        </w:rPr>
      </w:pPr>
      <w:r>
        <w:rPr>
          <w:caps w:val="false"/>
          <w:smallCaps w:val="false"/>
          <w:spacing w:val="0"/>
        </w:rPr>
        <w:t> </w:t>
      </w:r>
    </w:p>
    <w:p>
      <w:pPr>
        <w:pStyle w:val="TextBody"/>
        <w:bidi w:val="0"/>
        <w:spacing w:before="60" w:after="240"/>
        <w:jc w:val="left"/>
        <w:rPr>
          <w:bdr w:val="single" w:sz="8" w:space="1" w:color="000000"/>
        </w:rPr>
      </w:pPr>
      <w:r>
        <w:rPr>
          <w:bdr w:val="single" w:sz="8" w:space="1" w:color="000000"/>
        </w:rPr>
        <w:t> </w:t>
      </w:r>
    </w:p>
    <w:p>
      <w:pPr>
        <w:pStyle w:val="TextBody"/>
        <w:bidi w:val="0"/>
        <w:jc w:val="both"/>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64" w:before="79" w:after="79"/>
        <w:ind w:left="79" w:right="79" w:hanging="0"/>
        <w:jc w:val="both"/>
        <w:rPr>
          <w:rFonts w:ascii="Arial;Helvetica;Sans-Serif" w:hAnsi="Arial;Helvetica;Sans-Serif"/>
          <w:b/>
          <w:i w:val="false"/>
          <w:caps w:val="false"/>
          <w:smallCaps w:val="false"/>
          <w:color w:val="EB0028"/>
          <w:sz w:val="20"/>
        </w:rPr>
      </w:pPr>
      <w:r>
        <w:rPr>
          <w:rFonts w:ascii="Arial;Helvetica;Sans-Serif" w:hAnsi="Arial;Helvetica;Sans-Serif"/>
          <w:b/>
          <w:i w:val="false"/>
          <w:caps w:val="false"/>
          <w:smallCaps w:val="false"/>
          <w:color w:val="EB0028"/>
          <w:sz w:val="20"/>
        </w:rPr>
        <w:t xml:space="preserve">The </w:t>
      </w:r>
      <w:r>
        <w:rPr>
          <w:rFonts w:ascii="Arial;Helvetica;Sans-Serif" w:hAnsi="Arial;Helvetica;Sans-Serif"/>
          <w:b/>
          <w:i w:val="false"/>
          <w:caps w:val="false"/>
          <w:smallCaps w:val="false"/>
          <w:color w:val="EB0028"/>
          <w:spacing w:val="9"/>
          <w:sz w:val="20"/>
        </w:rPr>
        <w:t>information</w:t>
      </w:r>
      <w:r>
        <w:rPr>
          <w:rFonts w:ascii="Arial;Helvetica;Sans-Serif" w:hAnsi="Arial;Helvetica;Sans-Serif"/>
          <w:b/>
          <w:i w:val="false"/>
          <w:caps w:val="false"/>
          <w:smallCaps w:val="false"/>
          <w:color w:val="EB0028"/>
          <w:sz w:val="20"/>
        </w:rPr>
        <w:t xml:space="preserve"> in this prospectus is not complete and may be changed. The securities may not be sold until </w:t>
      </w:r>
      <w:r>
        <w:rPr>
          <w:rFonts w:ascii="Arial;Helvetica;Sans-Serif" w:hAnsi="Arial;Helvetica;Sans-Serif"/>
          <w:b/>
          <w:i w:val="false"/>
          <w:caps w:val="false"/>
          <w:smallCaps w:val="false"/>
          <w:color w:val="EB0028"/>
          <w:spacing w:val="10"/>
          <w:sz w:val="20"/>
        </w:rPr>
        <w:t xml:space="preserve">the </w:t>
      </w:r>
      <w:r>
        <w:rPr>
          <w:rFonts w:ascii="Arial;Helvetica;Sans-Serif" w:hAnsi="Arial;Helvetica;Sans-Serif"/>
          <w:b/>
          <w:i w:val="false"/>
          <w:caps w:val="false"/>
          <w:smallCaps w:val="false"/>
          <w:color w:val="EB0028"/>
          <w:sz w:val="20"/>
        </w:rPr>
        <w:t>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jc w:val="left"/>
        <w:rPr>
          <w:caps w:val="false"/>
          <w:smallCaps w:val="false"/>
        </w:rPr>
      </w:pPr>
      <w:r>
        <w:rPr>
          <w:caps w:val="false"/>
          <w:smallCaps w:val="false"/>
        </w:rPr>
        <w:t> </w:t>
      </w:r>
    </w:p>
    <w:p>
      <w:pPr>
        <w:pStyle w:val="TextBody"/>
        <w:bidi w:val="0"/>
        <w:spacing w:before="32" w:after="32"/>
        <w:ind w:left="32" w:right="32" w:hanging="0"/>
        <w:jc w:val="left"/>
        <w:rPr>
          <w:caps w:val="false"/>
          <w:smallCaps w:val="false"/>
        </w:rPr>
      </w:pPr>
      <w:r>
        <w:rPr>
          <w:caps w:val="false"/>
          <w:smallCaps w:val="false"/>
        </w:rPr>
        <w:t> </w:t>
      </w:r>
    </w:p>
    <w:p>
      <w:pPr>
        <w:pStyle w:val="TextBody"/>
        <w:bidi w:val="0"/>
        <w:spacing w:before="97" w:after="97"/>
        <w:ind w:left="97" w:right="97"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EB0028"/>
          <w:spacing w:val="-2"/>
          <w:sz w:val="20"/>
        </w:rPr>
        <w:t>Subject to Completion, dated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FF4338"/>
          <w:spacing w:val="-2"/>
          <w:sz w:val="20"/>
        </w:rPr>
        <w:t>May 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FF4338"/>
          <w:spacing w:val="-4"/>
          <w:sz w:val="20"/>
        </w:rPr>
        <w:t>2026</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PROSPECTUS</w:t>
      </w:r>
    </w:p>
    <w:p>
      <w:pPr>
        <w:pStyle w:val="TextBody"/>
        <w:bidi w:val="0"/>
        <w:jc w:val="left"/>
        <w:rPr>
          <w:caps w:val="false"/>
          <w:smallCaps w:val="false"/>
        </w:rPr>
      </w:pPr>
      <w:r>
        <w:rPr>
          <w:caps w:val="false"/>
          <w:smallCaps w:val="false"/>
        </w:rPr>
        <w:t> </w:t>
      </w:r>
    </w:p>
    <w:p>
      <w:pPr>
        <w:pStyle w:val="TextBody"/>
        <w:bidi w:val="0"/>
        <w:spacing w:before="145" w:after="145"/>
        <w:ind w:left="145" w:right="145" w:hanging="0"/>
        <w:jc w:val="center"/>
        <w:rPr>
          <w:caps w:val="false"/>
          <w:smallCaps w:val="false"/>
        </w:rPr>
      </w:pPr>
      <w:r>
        <w:rPr>
          <w:caps w:val="false"/>
          <w:smallCaps w:val="false"/>
        </w:rPr>
        <w:drawing>
          <wp:inline distT="0" distB="0" distL="0" distR="0">
            <wp:extent cx="22479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638175"/>
                    </a:xfrm>
                    <a:prstGeom prst="rect">
                      <a:avLst/>
                    </a:prstGeom>
                  </pic:spPr>
                </pic:pic>
              </a:graphicData>
            </a:graphic>
          </wp:inline>
        </w:drawing>
      </w:r>
    </w:p>
    <w:p>
      <w:pPr>
        <w:pStyle w:val="TextBody"/>
        <w:bidi w:val="0"/>
        <w:spacing w:before="1" w:after="1"/>
        <w:ind w:left="1" w:right="1"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AEYE, </w:t>
      </w:r>
      <w:r>
        <w:rPr>
          <w:rFonts w:ascii="Times New Roman;Times;Serif" w:hAnsi="Times New Roman;Times;Serif"/>
          <w:b/>
          <w:i w:val="false"/>
          <w:caps w:val="false"/>
          <w:smallCaps w:val="false"/>
          <w:spacing w:val="-4"/>
          <w:sz w:val="36"/>
        </w:rPr>
        <w:t>INC.</w:t>
      </w:r>
    </w:p>
    <w:p>
      <w:pPr>
        <w:pStyle w:val="TextBody"/>
        <w:bidi w:val="0"/>
        <w:spacing w:before="295" w:after="295"/>
        <w:ind w:left="295" w:right="295"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$200,000,000</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lineRule="auto" w:line="252"/>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Warrants</w:t>
      </w:r>
    </w:p>
    <w:p>
      <w:pPr>
        <w:pStyle w:val="TextBody"/>
        <w:bidi w:val="0"/>
        <w:spacing w:lineRule="auto" w:line="252"/>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Rights</w:t>
      </w:r>
    </w:p>
    <w:p>
      <w:pPr>
        <w:pStyle w:val="TextBody"/>
        <w:bidi w:val="0"/>
        <w:spacing w:before="3" w:after="3"/>
        <w:ind w:left="3" w:right="3"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Units</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spacing w:lineRule="atLeast" w:line="142"/>
        <w:ind w:left="3787" w:right="0" w:hanging="0"/>
        <w:jc w:val="left"/>
        <w:rPr>
          <w:caps w:val="false"/>
          <w:smallCaps w:val="false"/>
        </w:rPr>
      </w:pPr>
      <w:r>
        <w:rPr>
          <w:caps w:val="false"/>
          <w:smallCaps w:val="false"/>
        </w:rPr>
        <w:t> </w:t>
      </w:r>
    </w:p>
    <w:p>
      <w:pPr>
        <w:pStyle w:val="TextBody"/>
        <w:bidi w:val="0"/>
        <w:spacing w:lineRule="auto" w:line="264" w:before="121" w:after="121"/>
        <w:ind w:left="121" w:right="121"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common stock, preferred stock, debt securities, warrants, rights and units that include any of these securities. The preferred stock or warrants may be convertible into or exercisable or exchangeable for common or preferred stock or other of our securities registered hereunder. The debt securities may be convertible into, or exercisable or exchangeable for, common stock. Our common stock and public warrants are listed on The Nasdaq Stock Market LLC (“Nasdaq”) under the symbols “LIDR” and “LIDRW</w:t>
      </w:r>
      <w:r>
        <w:rPr>
          <w:rFonts w:ascii="Times New Roman;Times;Serif" w:hAnsi="Times New Roman;Times;Serif"/>
          <w:b w:val="false"/>
          <w:i w:val="false"/>
          <w:caps w:val="false"/>
          <w:smallCaps w:val="false"/>
          <w:spacing w:val="-2"/>
          <w:sz w:val="20"/>
        </w:rPr>
        <w:t>,” respectively. On</w:t>
      </w:r>
      <w:r>
        <w:rPr>
          <w:rFonts w:ascii="Times New Roman;Times;Serif" w:hAnsi="Times New Roman;Times;Serif"/>
          <w:b w:val="false"/>
          <w:i w:val="false"/>
          <w:caps w:val="false"/>
          <w:smallCaps w:val="false"/>
          <w:sz w:val="20"/>
        </w:rPr>
        <w:t xml:space="preserve"> May 18, 2026, the closing price of our common stock was $1.86 per </w:t>
      </w:r>
      <w:r>
        <w:rPr>
          <w:rFonts w:ascii="Times New Roman;Times;Serif" w:hAnsi="Times New Roman;Times;Serif"/>
          <w:b w:val="false"/>
          <w:i w:val="false"/>
          <w:caps w:val="false"/>
          <w:smallCaps w:val="false"/>
          <w:spacing w:val="-2"/>
          <w:sz w:val="20"/>
        </w:rPr>
        <w:t>share, and the last reported sales price of our public warrants was $0.03 per warrant.</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to or through one or more underwriters, dealers, and agents, or directly to purchasers, on a continuous or delayed basis.</w:t>
      </w:r>
    </w:p>
    <w:p>
      <w:pPr>
        <w:pStyle w:val="TextBody"/>
        <w:bidi w:val="0"/>
        <w:spacing w:before="17" w:after="17"/>
        <w:ind w:left="17" w:right="17" w:firstLine="605"/>
        <w:jc w:val="left"/>
        <w:rPr>
          <w:caps w:val="false"/>
          <w:smallCaps w:val="false"/>
          <w:spacing w:val="-2"/>
        </w:rPr>
      </w:pPr>
      <w:r>
        <w:rPr>
          <w:caps w:val="false"/>
          <w:smallCaps w:val="false"/>
          <w:spacing w:val="-2"/>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any applicable prospectus supplement, as well as the documents incorporated by reference herein or therein carefully before you invest.</w:t>
      </w:r>
    </w:p>
    <w:p>
      <w:pPr>
        <w:pStyle w:val="TextBody"/>
        <w:bidi w:val="0"/>
        <w:spacing w:lineRule="auto" w:line="264"/>
        <w:ind w:left="0" w:right="0" w:firstLine="605"/>
        <w:jc w:val="left"/>
        <w:rPr>
          <w:caps w:val="false"/>
          <w:smallCaps w:val="false"/>
        </w:rPr>
      </w:pPr>
      <w:r>
        <w:rPr>
          <w:caps w:val="false"/>
          <w:smallCaps w:val="false"/>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sold on a delayed or continuous basis through agents, underwriters or dealers as designated from time to time, through a combination of these methods or any other method as provided in the applicable prospectus supplement. See “Plan of Distribution.” The prospectus supplement will list any agents, underwriters or dealers that may be involved and the compensation they will receive.</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spacing w:before="45" w:after="45"/>
        <w:ind w:left="45" w:right="45" w:hanging="0"/>
        <w:jc w:val="left"/>
        <w:rPr>
          <w:caps w:val="false"/>
          <w:smallCaps w:val="false"/>
        </w:rPr>
      </w:pPr>
      <w:r>
        <w:rPr>
          <w:caps w:val="false"/>
          <w:smallCaps w:val="false"/>
        </w:rPr>
        <w:t> </w:t>
      </w:r>
    </w:p>
    <w:p>
      <w:pPr>
        <w:pStyle w:val="TextBody"/>
        <w:bidi w:val="0"/>
        <w:spacing w:lineRule="auto" w:line="278"/>
        <w:ind w:left="0" w:right="0" w:firstLine="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and any accompanying prospectus supplement, together with the documents we incorporate by reference, before you invest in any of our securities. Our business and investment in our securities involve significant risks. These risks are described in the section 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4 of this prospectus.</w:t>
      </w:r>
    </w:p>
    <w:p>
      <w:pPr>
        <w:pStyle w:val="TextBody"/>
        <w:bidi w:val="0"/>
        <w:spacing w:before="4" w:after="4"/>
        <w:ind w:left="4" w:right="4" w:firstLine="576"/>
        <w:jc w:val="left"/>
        <w:rPr>
          <w:caps w:val="false"/>
          <w:smallCaps w:val="false"/>
        </w:rPr>
      </w:pPr>
      <w:r>
        <w:rPr>
          <w:caps w:val="false"/>
          <w:smallCaps w:val="false"/>
        </w:rPr>
        <w:t> </w:t>
      </w:r>
    </w:p>
    <w:p>
      <w:pPr>
        <w:pStyle w:val="TextBody"/>
        <w:bidi w:val="0"/>
        <w:spacing w:lineRule="auto" w:line="264"/>
        <w:ind w:left="0" w:right="0" w:firstLine="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3" w:after="3"/>
        <w:ind w:left="3" w:right="3" w:hanging="0"/>
        <w:jc w:val="left"/>
        <w:rPr>
          <w:caps w:val="false"/>
          <w:smallCaps w:val="false"/>
        </w:rPr>
      </w:pPr>
      <w:r>
        <w:rPr>
          <w:caps w:val="false"/>
          <w:smallCaps w:val="false"/>
        </w:rPr>
        <w:t> </w:t>
      </w:r>
    </w:p>
    <w:p>
      <w:pPr>
        <w:pStyle w:val="TextBody"/>
        <w:bidi w:val="0"/>
        <w:ind w:left="7" w:right="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May 19, </w:t>
      </w:r>
      <w:r>
        <w:rPr>
          <w:rFonts w:ascii="Times New Roman;Times;Serif" w:hAnsi="Times New Roman;Times;Serif"/>
          <w:b/>
          <w:i w:val="false"/>
          <w:caps w:val="false"/>
          <w:smallCaps w:val="false"/>
          <w:spacing w:val="-2"/>
          <w:sz w:val="20"/>
        </w:rPr>
        <w:t>2026.</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ind w:left="7" w:right="7" w:hanging="0"/>
        <w:jc w:val="center"/>
        <w:rPr>
          <w:caps w:val="false"/>
          <w:smallCaps w:val="false"/>
          <w:spacing w:val="-2"/>
        </w:rPr>
      </w:pPr>
      <w:r>
        <w:rPr>
          <w:caps w:val="false"/>
          <w:smallCaps w:val="false"/>
          <w:spacing w:val="-2"/>
        </w:rPr>
        <w:t> </w:t>
      </w:r>
    </w:p>
    <w:p>
      <w:pPr>
        <w:pStyle w:val="TextBody"/>
        <w:bidi w:val="0"/>
        <w:ind w:left="7" w:right="7" w:hanging="0"/>
        <w:jc w:val="center"/>
        <w:rPr>
          <w:caps w:val="false"/>
          <w:smallCaps w:val="false"/>
          <w:spacing w:val="-2"/>
        </w:rPr>
      </w:pPr>
      <w:r>
        <w:rPr>
          <w:caps w:val="false"/>
          <w:smallCaps w:val="false"/>
          <w:spacing w:val="-2"/>
        </w:rPr>
        <w:t> </w:t>
      </w:r>
    </w:p>
    <w:p>
      <w:pPr>
        <w:pStyle w:val="TextBody"/>
        <w:bidi w:val="0"/>
        <w:ind w:left="7" w:right="7"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ind w:left="147" w:right="147" w:hanging="0"/>
        <w:jc w:val="righ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Page</w:t>
      </w:r>
    </w:p>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vAlign w:val="center"/>
          </w:tcPr>
          <w:p>
            <w:pPr>
              <w:pStyle w:val="TableContents"/>
              <w:bidi w:val="0"/>
              <w:spacing w:before="0" w:after="283"/>
              <w:jc w:val="left"/>
              <w:rPr/>
            </w:pPr>
            <w:hyperlink w:anchor="about">
              <w:r>
                <w:rPr>
                  <w:rStyle w:val="InternetLink"/>
                </w:rPr>
                <w:t>ABOUT THIS PROSPECTUS</w:t>
              </w:r>
            </w:hyperlink>
          </w:p>
        </w:tc>
        <w:tc>
          <w:tcPr>
            <w:tcW w:w="275" w:type="dxa"/>
            <w:tcBorders/>
            <w:vAlign w:val="center"/>
          </w:tcPr>
          <w:p>
            <w:pPr>
              <w:pStyle w:val="TableContents"/>
              <w:bidi w:val="0"/>
              <w:spacing w:before="0" w:after="283"/>
              <w:jc w:val="right"/>
              <w:rPr/>
            </w:pPr>
            <w:r>
              <w:rPr/>
              <w:t>i</w:t>
            </w:r>
          </w:p>
        </w:tc>
      </w:tr>
      <w:tr>
        <w:trPr/>
        <w:tc>
          <w:tcPr>
            <w:tcW w:w="8045" w:type="dxa"/>
            <w:tcBorders/>
            <w:vAlign w:val="center"/>
          </w:tcPr>
          <w:p>
            <w:pPr>
              <w:pStyle w:val="TableContents"/>
              <w:bidi w:val="0"/>
              <w:spacing w:before="0" w:after="283"/>
              <w:jc w:val="left"/>
              <w:rPr/>
            </w:pPr>
            <w:hyperlink w:anchor="caution">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r>
              <w:rPr/>
              <w:t>ii</w:t>
            </w:r>
          </w:p>
        </w:tc>
      </w:tr>
      <w:tr>
        <w:trPr/>
        <w:tc>
          <w:tcPr>
            <w:tcW w:w="8045" w:type="dxa"/>
            <w:tcBorders/>
            <w:vAlign w:val="center"/>
          </w:tcPr>
          <w:p>
            <w:pPr>
              <w:pStyle w:val="TableContents"/>
              <w:bidi w:val="0"/>
              <w:spacing w:before="0" w:after="283"/>
              <w:jc w:val="left"/>
              <w:rPr/>
            </w:pPr>
            <w:hyperlink w:anchor="prospectussummary">
              <w:r>
                <w:rPr>
                  <w:rStyle w:val="InternetLink"/>
                </w:rPr>
                <w:t>PROSPECTUS SUMMARY</w:t>
              </w:r>
            </w:hyperlink>
          </w:p>
        </w:tc>
        <w:tc>
          <w:tcPr>
            <w:tcW w:w="275" w:type="dxa"/>
            <w:tcBorders/>
            <w:vAlign w:val="center"/>
          </w:tcPr>
          <w:p>
            <w:pPr>
              <w:pStyle w:val="TableContents"/>
              <w:bidi w:val="0"/>
              <w:spacing w:before="0" w:after="283"/>
              <w:jc w:val="right"/>
              <w:rPr/>
            </w:pPr>
            <w:r>
              <w:rPr/>
              <w:t>1</w:t>
            </w:r>
          </w:p>
        </w:tc>
      </w:tr>
      <w:tr>
        <w:trPr/>
        <w:tc>
          <w:tcPr>
            <w:tcW w:w="8045" w:type="dxa"/>
            <w:tcBorders/>
            <w:vAlign w:val="center"/>
          </w:tcPr>
          <w:p>
            <w:pPr>
              <w:pStyle w:val="TableContents"/>
              <w:bidi w:val="0"/>
              <w:spacing w:before="0" w:after="283"/>
              <w:jc w:val="left"/>
              <w:rPr/>
            </w:pPr>
            <w:hyperlink w:anchor="risk">
              <w:r>
                <w:rPr>
                  <w:rStyle w:val="InternetLink"/>
                </w:rPr>
                <w:t>RISK FACTORS</w:t>
              </w:r>
            </w:hyperlink>
          </w:p>
        </w:tc>
        <w:tc>
          <w:tcPr>
            <w:tcW w:w="275" w:type="dxa"/>
            <w:tcBorders/>
            <w:vAlign w:val="center"/>
          </w:tcPr>
          <w:p>
            <w:pPr>
              <w:pStyle w:val="TableContents"/>
              <w:bidi w:val="0"/>
              <w:spacing w:before="0" w:after="283"/>
              <w:jc w:val="right"/>
              <w:rPr/>
            </w:pPr>
            <w:r>
              <w:rPr/>
              <w:t>4</w:t>
            </w:r>
          </w:p>
        </w:tc>
      </w:tr>
      <w:tr>
        <w:trPr/>
        <w:tc>
          <w:tcPr>
            <w:tcW w:w="8045" w:type="dxa"/>
            <w:tcBorders/>
            <w:vAlign w:val="center"/>
          </w:tcPr>
          <w:p>
            <w:pPr>
              <w:pStyle w:val="TableContents"/>
              <w:bidi w:val="0"/>
              <w:spacing w:before="0" w:after="283"/>
              <w:jc w:val="left"/>
              <w:rPr/>
            </w:pPr>
            <w:hyperlink w:anchor="use">
              <w:r>
                <w:rPr>
                  <w:rStyle w:val="InternetLink"/>
                </w:rPr>
                <w:t>USE OF PROCEEDS</w:t>
              </w:r>
            </w:hyperlink>
          </w:p>
        </w:tc>
        <w:tc>
          <w:tcPr>
            <w:tcW w:w="275" w:type="dxa"/>
            <w:tcBorders/>
            <w:vAlign w:val="center"/>
          </w:tcPr>
          <w:p>
            <w:pPr>
              <w:pStyle w:val="TableContents"/>
              <w:bidi w:val="0"/>
              <w:spacing w:before="0" w:after="283"/>
              <w:jc w:val="right"/>
              <w:rPr/>
            </w:pPr>
            <w:r>
              <w:rPr/>
              <w:t>5</w:t>
            </w:r>
          </w:p>
        </w:tc>
      </w:tr>
      <w:tr>
        <w:trPr/>
        <w:tc>
          <w:tcPr>
            <w:tcW w:w="8045" w:type="dxa"/>
            <w:tcBorders/>
            <w:vAlign w:val="center"/>
          </w:tcPr>
          <w:p>
            <w:pPr>
              <w:pStyle w:val="TableContents"/>
              <w:bidi w:val="0"/>
              <w:spacing w:before="0" w:after="283"/>
              <w:jc w:val="left"/>
              <w:rPr/>
            </w:pPr>
            <w:hyperlink w:anchor="desc">
              <w:r>
                <w:rPr>
                  <w:rStyle w:val="InternetLink"/>
                  <w:spacing w:val="-6"/>
                </w:rPr>
                <w:t>DESCRIPTION OF SECURITIES WE MAY OFFER</w:t>
              </w:r>
            </w:hyperlink>
          </w:p>
        </w:tc>
        <w:tc>
          <w:tcPr>
            <w:tcW w:w="275" w:type="dxa"/>
            <w:tcBorders/>
            <w:vAlign w:val="center"/>
          </w:tcPr>
          <w:p>
            <w:pPr>
              <w:pStyle w:val="TableContents"/>
              <w:bidi w:val="0"/>
              <w:spacing w:before="0" w:after="283"/>
              <w:jc w:val="right"/>
              <w:rPr/>
            </w:pPr>
            <w:r>
              <w:rPr/>
              <w:t>6</w:t>
            </w:r>
          </w:p>
        </w:tc>
      </w:tr>
      <w:tr>
        <w:trPr/>
        <w:tc>
          <w:tcPr>
            <w:tcW w:w="8045" w:type="dxa"/>
            <w:tcBorders/>
            <w:vAlign w:val="center"/>
          </w:tcPr>
          <w:p>
            <w:pPr>
              <w:pStyle w:val="TableContents"/>
              <w:bidi w:val="0"/>
              <w:spacing w:before="0" w:after="283"/>
              <w:jc w:val="left"/>
              <w:rPr/>
            </w:pPr>
            <w:hyperlink w:anchor="descof">
              <w:r>
                <w:rPr>
                  <w:rStyle w:val="InternetLink"/>
                </w:rPr>
                <w:t>DESCRIPTION OF CAPITAL STOCK</w:t>
              </w:r>
            </w:hyperlink>
          </w:p>
        </w:tc>
        <w:tc>
          <w:tcPr>
            <w:tcW w:w="275" w:type="dxa"/>
            <w:tcBorders/>
            <w:vAlign w:val="center"/>
          </w:tcPr>
          <w:p>
            <w:pPr>
              <w:pStyle w:val="TableContents"/>
              <w:bidi w:val="0"/>
              <w:spacing w:before="0" w:after="283"/>
              <w:jc w:val="right"/>
              <w:rPr/>
            </w:pPr>
            <w:r>
              <w:rPr/>
              <w:t>7</w:t>
            </w:r>
          </w:p>
        </w:tc>
      </w:tr>
      <w:tr>
        <w:trPr/>
        <w:tc>
          <w:tcPr>
            <w:tcW w:w="8045" w:type="dxa"/>
            <w:tcBorders/>
            <w:vAlign w:val="center"/>
          </w:tcPr>
          <w:p>
            <w:pPr>
              <w:pStyle w:val="TableContents"/>
              <w:bidi w:val="0"/>
              <w:spacing w:before="0" w:after="283"/>
              <w:jc w:val="left"/>
              <w:rPr/>
            </w:pPr>
            <w:hyperlink w:anchor="debt">
              <w:r>
                <w:rPr>
                  <w:rStyle w:val="InternetLink"/>
                </w:rPr>
                <w:t>DESCRIPTION OF DEBT SECURITIES</w:t>
              </w:r>
            </w:hyperlink>
          </w:p>
        </w:tc>
        <w:tc>
          <w:tcPr>
            <w:tcW w:w="275" w:type="dxa"/>
            <w:tcBorders/>
            <w:vAlign w:val="center"/>
          </w:tcPr>
          <w:p>
            <w:pPr>
              <w:pStyle w:val="TableContents"/>
              <w:bidi w:val="0"/>
              <w:spacing w:before="0" w:after="283"/>
              <w:jc w:val="right"/>
              <w:rPr/>
            </w:pPr>
            <w:r>
              <w:rPr/>
              <w:t>11</w:t>
            </w:r>
          </w:p>
        </w:tc>
      </w:tr>
      <w:tr>
        <w:trPr/>
        <w:tc>
          <w:tcPr>
            <w:tcW w:w="8045" w:type="dxa"/>
            <w:tcBorders/>
            <w:vAlign w:val="center"/>
          </w:tcPr>
          <w:p>
            <w:pPr>
              <w:pStyle w:val="TableContents"/>
              <w:bidi w:val="0"/>
              <w:spacing w:before="0" w:after="283"/>
              <w:jc w:val="left"/>
              <w:rPr/>
            </w:pPr>
            <w:hyperlink w:anchor="warrant">
              <w:r>
                <w:rPr>
                  <w:rStyle w:val="InternetLink"/>
                  <w:spacing w:val="-4"/>
                </w:rPr>
                <w:t>DESCRIPTION OF WARRANTS</w:t>
              </w:r>
            </w:hyperlink>
          </w:p>
        </w:tc>
        <w:tc>
          <w:tcPr>
            <w:tcW w:w="275" w:type="dxa"/>
            <w:tcBorders/>
            <w:vAlign w:val="center"/>
          </w:tcPr>
          <w:p>
            <w:pPr>
              <w:pStyle w:val="TableContents"/>
              <w:bidi w:val="0"/>
              <w:spacing w:before="0" w:after="283"/>
              <w:jc w:val="right"/>
              <w:rPr/>
            </w:pPr>
            <w:r>
              <w:rPr/>
              <w:t>18</w:t>
            </w:r>
          </w:p>
        </w:tc>
      </w:tr>
      <w:tr>
        <w:trPr/>
        <w:tc>
          <w:tcPr>
            <w:tcW w:w="8045" w:type="dxa"/>
            <w:tcBorders/>
            <w:vAlign w:val="center"/>
          </w:tcPr>
          <w:p>
            <w:pPr>
              <w:pStyle w:val="TableContents"/>
              <w:bidi w:val="0"/>
              <w:spacing w:before="0" w:after="283"/>
              <w:jc w:val="left"/>
              <w:rPr/>
            </w:pPr>
            <w:hyperlink w:anchor="rights">
              <w:r>
                <w:rPr>
                  <w:rStyle w:val="InternetLink"/>
                  <w:spacing w:val="-6"/>
                </w:rPr>
                <w:t>DESCRIPTION OF RIGHTS</w:t>
              </w:r>
            </w:hyperlink>
          </w:p>
        </w:tc>
        <w:tc>
          <w:tcPr>
            <w:tcW w:w="275" w:type="dxa"/>
            <w:tcBorders/>
            <w:vAlign w:val="center"/>
          </w:tcPr>
          <w:p>
            <w:pPr>
              <w:pStyle w:val="TableContents"/>
              <w:bidi w:val="0"/>
              <w:spacing w:before="0" w:after="283"/>
              <w:jc w:val="right"/>
              <w:rPr/>
            </w:pPr>
            <w:r>
              <w:rPr/>
              <w:t>19</w:t>
            </w:r>
          </w:p>
        </w:tc>
      </w:tr>
      <w:tr>
        <w:trPr/>
        <w:tc>
          <w:tcPr>
            <w:tcW w:w="8045" w:type="dxa"/>
            <w:tcBorders/>
            <w:vAlign w:val="center"/>
          </w:tcPr>
          <w:p>
            <w:pPr>
              <w:pStyle w:val="TableContents"/>
              <w:bidi w:val="0"/>
              <w:spacing w:before="0" w:after="283"/>
              <w:jc w:val="left"/>
              <w:rPr/>
            </w:pPr>
            <w:hyperlink w:anchor="units">
              <w:r>
                <w:rPr>
                  <w:rStyle w:val="InternetLink"/>
                  <w:spacing w:val="-4"/>
                </w:rPr>
                <w:t>DESCRIPTION OF UNITS</w:t>
              </w:r>
            </w:hyperlink>
          </w:p>
        </w:tc>
        <w:tc>
          <w:tcPr>
            <w:tcW w:w="275" w:type="dxa"/>
            <w:tcBorders/>
            <w:vAlign w:val="center"/>
          </w:tcPr>
          <w:p>
            <w:pPr>
              <w:pStyle w:val="TableContents"/>
              <w:bidi w:val="0"/>
              <w:spacing w:before="0" w:after="283"/>
              <w:jc w:val="right"/>
              <w:rPr/>
            </w:pPr>
            <w:r>
              <w:rPr/>
              <w:t>20</w:t>
            </w:r>
          </w:p>
        </w:tc>
      </w:tr>
      <w:tr>
        <w:trPr/>
        <w:tc>
          <w:tcPr>
            <w:tcW w:w="8045" w:type="dxa"/>
            <w:tcBorders/>
            <w:vAlign w:val="center"/>
          </w:tcPr>
          <w:p>
            <w:pPr>
              <w:pStyle w:val="TableContents"/>
              <w:bidi w:val="0"/>
              <w:spacing w:before="0" w:after="283"/>
              <w:jc w:val="left"/>
              <w:rPr/>
            </w:pPr>
            <w:hyperlink w:anchor="plan">
              <w:r>
                <w:rPr>
                  <w:rStyle w:val="InternetLink"/>
                  <w:spacing w:val="-4"/>
                </w:rPr>
                <w:t>PLAN OF DISTRIBUTION</w:t>
              </w:r>
            </w:hyperlink>
          </w:p>
        </w:tc>
        <w:tc>
          <w:tcPr>
            <w:tcW w:w="275" w:type="dxa"/>
            <w:tcBorders/>
            <w:vAlign w:val="center"/>
          </w:tcPr>
          <w:p>
            <w:pPr>
              <w:pStyle w:val="TableContents"/>
              <w:bidi w:val="0"/>
              <w:spacing w:before="0" w:after="283"/>
              <w:jc w:val="right"/>
              <w:rPr/>
            </w:pPr>
            <w:r>
              <w:rPr/>
              <w:t>21</w:t>
            </w:r>
          </w:p>
        </w:tc>
      </w:tr>
      <w:tr>
        <w:trPr/>
        <w:tc>
          <w:tcPr>
            <w:tcW w:w="8045" w:type="dxa"/>
            <w:tcBorders/>
            <w:vAlign w:val="center"/>
          </w:tcPr>
          <w:p>
            <w:pPr>
              <w:pStyle w:val="TableContents"/>
              <w:bidi w:val="0"/>
              <w:spacing w:before="0" w:after="283"/>
              <w:jc w:val="left"/>
              <w:rPr/>
            </w:pPr>
            <w:hyperlink w:anchor="legal">
              <w:r>
                <w:rPr>
                  <w:rStyle w:val="InternetLink"/>
                  <w:spacing w:val="-9"/>
                </w:rPr>
                <w:t>LEGAL</w:t>
              </w:r>
            </w:hyperlink>
            <w:hyperlink w:anchor="legal">
              <w:r>
                <w:rPr>
                  <w:rStyle w:val="InternetLink"/>
                </w:rPr>
                <w:t xml:space="preserve"> MATTERS</w:t>
              </w:r>
            </w:hyperlink>
          </w:p>
        </w:tc>
        <w:tc>
          <w:tcPr>
            <w:tcW w:w="275"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experts">
              <w:r>
                <w:rPr>
                  <w:rStyle w:val="InternetLink"/>
                </w:rPr>
                <w:t>EXPERTS</w:t>
              </w:r>
            </w:hyperlink>
          </w:p>
        </w:tc>
        <w:tc>
          <w:tcPr>
            <w:tcW w:w="275"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where">
              <w:r>
                <w:rPr>
                  <w:rStyle w:val="InternetLink"/>
                </w:rPr>
                <w:t>WHERE YOU CAN FIND MORE INFORMATION</w:t>
              </w:r>
            </w:hyperlink>
          </w:p>
        </w:tc>
        <w:tc>
          <w:tcPr>
            <w:tcW w:w="275" w:type="dxa"/>
            <w:tcBorders/>
            <w:vAlign w:val="center"/>
          </w:tcPr>
          <w:p>
            <w:pPr>
              <w:pStyle w:val="TableContents"/>
              <w:bidi w:val="0"/>
              <w:spacing w:before="0" w:after="283"/>
              <w:jc w:val="right"/>
              <w:rPr/>
            </w:pPr>
            <w:r>
              <w:rPr/>
              <w:t>25</w:t>
            </w:r>
          </w:p>
        </w:tc>
      </w:tr>
      <w:tr>
        <w:trPr/>
        <w:tc>
          <w:tcPr>
            <w:tcW w:w="8045" w:type="dxa"/>
            <w:tcBorders/>
            <w:vAlign w:val="center"/>
          </w:tcPr>
          <w:p>
            <w:pPr>
              <w:pStyle w:val="TableContents"/>
              <w:bidi w:val="0"/>
              <w:spacing w:before="0" w:after="283"/>
              <w:jc w:val="left"/>
              <w:rPr/>
            </w:pPr>
            <w:hyperlink w:anchor="info">
              <w:r>
                <w:rPr>
                  <w:rStyle w:val="InternetLink"/>
                </w:rPr>
                <w:t>INFORMATION INCORPORATED BY REFERENCE</w:t>
              </w:r>
            </w:hyperlink>
          </w:p>
        </w:tc>
        <w:tc>
          <w:tcPr>
            <w:tcW w:w="275" w:type="dxa"/>
            <w:tcBorders/>
            <w:vAlign w:val="center"/>
          </w:tcPr>
          <w:p>
            <w:pPr>
              <w:pStyle w:val="TableContents"/>
              <w:bidi w:val="0"/>
              <w:spacing w:before="0" w:after="283"/>
              <w:jc w:val="right"/>
              <w:rPr/>
            </w:pPr>
            <w:r>
              <w:rPr/>
              <w:t>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4" w:after="204"/>
        <w:ind w:left="204" w:right="204"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4" w:name="about"/>
      <w:bookmarkEnd w:id="4"/>
      <w:r>
        <w:rPr>
          <w:rFonts w:ascii="Times New Roman;Times;Serif" w:hAnsi="Times New Roman;Times;Serif"/>
          <w:b/>
          <w:i w:val="false"/>
          <w:caps w:val="false"/>
          <w:smallCaps w:val="false"/>
          <w:sz w:val="20"/>
        </w:rPr>
        <w:t>ABOUT THIS PROSPECTUS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(the “SEC”), using a “shelf” registration process. Under this shelf registration process, we may, from time to time, sell shares of our common stock, preferred stock, debt securities, warrants, rights and units that include any of the foregoing securities, having an aggregate offering price of up to $200,000,000.</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supplement may also add to, update, or change the information contained in or incorporated by reference in this prospectus. If information varies between this prospectus and any prospectus supplement, you should rely on the information in the prospectus </w:t>
      </w:r>
      <w:r>
        <w:rPr>
          <w:rFonts w:ascii="Times New Roman;Times;Serif" w:hAnsi="Times New Roman;Times;Serif"/>
          <w:b w:val="false"/>
          <w:i w:val="false"/>
          <w:caps w:val="false"/>
          <w:smallCaps w:val="false"/>
          <w:spacing w:val="-2"/>
          <w:sz w:val="20"/>
        </w:rPr>
        <w:t>supplement.</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pursuant to the registration statement of which this prospectus forms a part. Each time we sell securities pursuant to the registration statement of which this prospectus forms a part, a prospectus supplement or post-effective amendment to the registration statement of which this prospectus forms a part will be provided that contains specific information about the terms of that offering and the securities being sold in that offering.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14" w:after="14"/>
        <w:ind w:left="14" w:right="14"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or incorporated by reference into this prospectus, any post-effective amendment, or any applicable prospectus supplement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We believe this information is reliable as of the applicable date of its publication, however, we have not independently verified the accuracy or completeness of the information included in or assumptions relied on in these third-party publications. In addition, the market and industry data and forecasts that may be included or incorporated by reference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post-effective amendment, and the applicable prospectus supplement. Accordingly, investors should not place undue reliance on this information.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6" w:after="66"/>
        <w:ind w:left="66" w:right="66"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5" w:name="caution"/>
      <w:bookmarkEnd w:id="5"/>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accompanying prospectus supplement, and the documents incorporated by reference herein contain forward-looking statements. All statements other than statements of historical facts contained in this prospectus, any accompanying prospectus supplement, and the documents incorporated by reference herein,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“believe,” “continue,” “project,” “expect,” “anticipate,” “estimate,” “intend,” “strategy,” “future,” “opportunity,” “predict,” “plan,” “may,” “should,” “will,” “would,” “potential,” “seem,” “seek,” “outlook,” “target,” “contemplate,” or the negative of these terms or other similar expressions that predict or indicate future events or trends, or that are not statements of historical matters. We have based these forward-looking statements largely on our current expectations and projections about future events and financial trends that we believe may affect our business, financial condition, and results of operations. The forward-looking statements in this prospectus, any accompanying prospectus supplement, and the documents incorporated by reference herein speak only as of the date of this prospectus, any accompanying prospectus supplement, and the documents incorporated by reference herein, as applicable. These forward-looking statements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in our strategy, future operations, financial position, estimated revenues and losses, projected costs, prospects, and plans;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product development timeline, third-party suppliers, cost of development, and expected start of commercial production;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implementation, market acceptance, and success of our business model, including our capital-light manufacturing approach and software-defined architecture;</w:t>
            </w:r>
          </w:p>
        </w:tc>
      </w:tr>
    </w:tbl>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our ability to scale in a cost-effective manner and execute on multi-year production cycles;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and projections relating to our competitors and industry, including the pace of lidar adoption and market demand for commercial lidar products;</w:t>
            </w:r>
          </w:p>
        </w:tc>
      </w:tr>
    </w:tbl>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risks related to our operational runway due to unforeseen expenses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capital-light model may not remain a point of differentiation to the extent or for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uptick in expected demand may not occur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risk that cash burn may exceed expectations due to unanticipated expenses associated with the investments required to ramp our products,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commercial pipeline may not convert, or that existing customers may not continue to make repeat purchases, or that new RFQs, completed POCs, or signed LOIs may not result in revenue, in each case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strategic partnerships may not result in actionable revenue pipelines or that our technology lead may not translate into firm volume commitments or a durable revenue ramp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physical AI market may not reach anticipated market size or that we may be unable to deliver on our vision for the future of physical AI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products may not meet the diverse range of performance and functional requirements of target markets and customers or may not function as anticipated;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effect of current or future global conflicts, trade restrictions, trade tensions, and tariffs, and the risks of economic downturns and a changing regulatory landscape in the highly competitive and evolving industry in which we operate;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expectations regarding our ability to obtain and maintain intellectual property protection and not infringe on the rights of others;</w:t>
            </w:r>
          </w:p>
        </w:tc>
      </w:tr>
    </w:tbl>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our future capital requirements and sources and uses of cash;</w:t>
            </w:r>
          </w:p>
        </w:tc>
      </w:tr>
    </w:tbl>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left"/>
              <w:rPr/>
            </w:pPr>
            <w:r>
              <w:rPr/>
              <w:t>our ability to obtain funding for our operations;</w:t>
            </w:r>
          </w:p>
        </w:tc>
      </w:tr>
    </w:tbl>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left"/>
              <w:rPr/>
            </w:pPr>
            <w:r>
              <w:rPr/>
              <w:t>our business, business relationships, expansion plans, and opportunities; and</w:t>
            </w:r>
          </w:p>
        </w:tc>
      </w:tr>
    </w:tbl>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left"/>
              <w:rPr/>
            </w:pPr>
            <w:r>
              <w:rPr/>
              <w:t>the outcome of any known and unknown litigation and regulatory proceedings.</w:t>
            </w:r>
          </w:p>
        </w:tc>
      </w:tr>
    </w:tbl>
    <w:p>
      <w:pPr>
        <w:pStyle w:val="TextBody"/>
        <w:bidi w:val="0"/>
        <w:ind w:left="360" w:right="0" w:hanging="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be amplified by current or future global conflicts and current and potential trade restrictions, trade tensions, and tariffs, all of which continue to cause economic uncertainty.</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new risk factors and uncertainties may emerge from time to time, and it is not possible for management to predict all risk factors and uncertainties. As a result of these factors, the forward-looking statements in this prospectus, any accompanying prospectus supplement, and the documents incorporated by reference herein may not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herein completely and with the understanding that our actual future results may be materially different from what we expect. We qualify all of our forward-looking statements by these cautionary statements.</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18" w:after="18"/>
        <w:ind w:left="18" w:right="18" w:hanging="0"/>
        <w:jc w:val="left"/>
        <w:rPr>
          <w:caps w:val="false"/>
          <w:smallCaps w:val="false"/>
        </w:rPr>
      </w:pPr>
      <w:r>
        <w:rPr>
          <w:caps w:val="false"/>
          <w:smallCaps w:val="false"/>
        </w:rPr>
        <w:t> </w:t>
      </w:r>
    </w:p>
    <w:p>
      <w:pPr>
        <w:pStyle w:val="TextBody"/>
        <w:bidi w:val="0"/>
        <w:spacing w:before="82" w:after="82"/>
        <w:ind w:left="82" w:right="82"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82" w:after="82"/>
        <w:ind w:left="82" w:right="82" w:hanging="0"/>
        <w:jc w:val="center"/>
        <w:rPr>
          <w:rFonts w:ascii="Times New Roman;Times;Serif" w:hAnsi="Times New Roman;Times;Serif"/>
          <w:b/>
          <w:i w:val="false"/>
          <w:caps w:val="false"/>
          <w:smallCaps w:val="false"/>
          <w:sz w:val="20"/>
          <w:bdr w:val="single" w:sz="8" w:space="1" w:color="000000"/>
        </w:rPr>
      </w:pPr>
      <w:bookmarkStart w:id="6" w:name="prospectussummary"/>
      <w:bookmarkEnd w:id="6"/>
      <w:r>
        <w:rPr>
          <w:rFonts w:ascii="Times New Roman;Times;Serif" w:hAnsi="Times New Roman;Times;Serif"/>
          <w:b/>
          <w:i w:val="false"/>
          <w:caps w:val="false"/>
          <w:smallCaps w:val="false"/>
          <w:sz w:val="20"/>
          <w:bdr w:val="single" w:sz="8" w:space="1" w:color="000000"/>
        </w:rPr>
        <w:t xml:space="preserve">PROSPECTUS </w:t>
      </w:r>
      <w:r>
        <w:rPr>
          <w:rFonts w:ascii="Times New Roman;Times;Serif" w:hAnsi="Times New Roman;Times;Serif"/>
          <w:b/>
          <w:i w:val="false"/>
          <w:caps w:val="false"/>
          <w:smallCaps w:val="false"/>
          <w:spacing w:val="-2"/>
          <w:sz w:val="20"/>
          <w:bdr w:val="single" w:sz="8" w:space="1" w:color="000000"/>
        </w:rPr>
        <w:t>SUMMARY</w:t>
      </w:r>
    </w:p>
    <w:p>
      <w:pPr>
        <w:pStyle w:val="TextBody"/>
        <w:bidi w:val="0"/>
        <w:spacing w:before="137" w:after="137"/>
        <w:ind w:left="137" w:right="137"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64"/>
        <w:ind w:left="0" w:right="0" w:firstLine="72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certain information about us, this prospectus, the documents incorporated by reference, and the information appearing elsewhere in this prospectus. This summary is not complete and does not contain all of the information that you should consider before making an investment decision. You should read this entire prospectus carefully, including the information referred to under the heading “Risk Factors” of this prospectus and any prospectus supplement relating to a specific security, along with the financial statements and other documents incorporated by reference before making an investment decision. See also the sections entitled “Where You Can Find More Information” and “Information Incorporated by Reference.” Some of the statements in this prospectus constitute forward-looking statements. See “Cautionary Note Regarding Forward-Looking Statements.” These risks could materially affect our business, results of operations, or financial condition and affect the value of our securities. You could lose all or part of your investment.</w:t>
      </w:r>
    </w:p>
    <w:p>
      <w:pPr>
        <w:pStyle w:val="TextBody"/>
        <w:bidi w:val="0"/>
        <w:spacing w:before="116" w:after="116"/>
        <w:ind w:left="116" w:right="116"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Overview</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provider of physical AI sensing solutions built on high-performance, active lidar systems for vehicle autonomy, advanced driver-assistance systems (ADAS), robotic vision and a range of non-automotive applications. Our physical AI approach combines software-defined sensing with adaptive perception capabilities that enable machines to interpret and respond to complex physical environments in real time. Our proprietary Intelligent Sensing Platform incorporates a solid-state, software-definable active lidar sensor; an adaptive SmartScan architecture that dynamically adjusts scan patterns for different scenes and targets; and a signal-processing pipeline designed to deliver precise measurements and imaging for safety-critical use cases. This platform is designed to support a broad set of markets beyond passenger vehicles, including rail, aerospace and defense, smart infrastructure, and security, where long-range performance, environmental robustness, and software-based configurability are key requirements.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founded in 2013 by Luis Dussan, our first Chief Executive Officer, with the goal of creating a deterministic AI-driven sensing system that performs better than the human eye and visual cortex. Mr. Dussan’s experience developing mission-critical targeting systems for fighter jets and ground troops on behalf of the U.S. military provided us with the background to develop a differentiated approach to visual sensing. While traditional sensing systems passively collect data, our active Intelligent Sensing Platform leverages principles from automated targeting systems and biomimicry to scan the environment, while intelligently focusing on what matters in order to enable safer, smarter, and faster decisions in complex scenarios. From our inception, our culture drew from esteemed scientists and electro-optics engineers from the National Aeronautics and Space Administration (NASA), Lockheed Martin Corporation, Northrop Grumman Corporation, the U.S. Air Force, and the Defense Advanced Research Projects Agency (DARPA) to create the highest performing sensing and perception system for the most challenging situations, ensuring the highest levels of safety for autonomous driving.</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our adaptive lidar is designed to enable higher levels of autonomy and functionality — SAE Levels 2 through 5 — with the goal of optimizing performance, power, and reducing cost. Our Intelligent Sensing Platform is software-definable and network-optimized, and leverages deterministic artificial intelligence at the edge. We have made substantial investments in our R&amp;D processes and deliver value to our customers through our manufacturing partners. We perform the majority of our R&amp;D activities in our 18,605 square foot corporate headquarters located in Pleasanton, California. Our modular design facilitates product hardware updates as technologies evolve, and its small size and modest heat generation enable very flexible placement options on the interior or exterior of a vehicle. The platform is also software-adaptable, enabling adjustments to scan pattern, frame rate, and other performance characteristics without hardware changes. This software-defined approach allows us to tailor a common architecture into application-specific products across multiple markets.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systems-based approach supports partnerships not only within the established automotive supply chain, such as OEMs and Tier 1 and Tier 2 suppliers, but also with solution providers in non-automotive markets. In automotive, we expect Tier 1 partners to add value through industrialization, manufacturing, integration, sales, marketing, product liability management, and warranty support. Tier 2 partners contribute automotive-grade sub-components that can also be leveraged in products sold into adjacent markets where similar reliability, environmental robustness, and performance standards are required.</w:t>
      </w:r>
    </w:p>
    <w:p>
      <w:pPr>
        <w:pStyle w:val="TextBody"/>
        <w:bidi w:val="0"/>
        <w:spacing w:lineRule="auto" w:line="285" w:before="119" w:after="119"/>
        <w:ind w:left="119" w:right="119" w:firstLine="72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83" w:before="119" w:after="119"/>
        <w:ind w:left="119" w:right="119"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Beyond automotive, our OPTIS</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solution enables us to collaborate directly with system integrators, software partners, and domain-specific solution providers across intelligent transportation systems, rail, aviation, ports, industrial automation, defense, and emerging infrastructure applications. OPTIS</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allows us to combine our software-defined sensing capabilities with third-party perception, analytics, and workflow software to deliver application-specific functionality without requiring new hardware variants. This approach broadens the utility of our technology and allows partners to build turnkey solutions tailored to their end markets.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this combined model, leveraging automotive-grade components, software-defined configurability, and partnerships with specialized integrators, supports the development of high-quality, high-performance products at scalable cost structures. This positions our platform to enable lidar adoption across a range of markets, both within automotive and in non-automotive domains where sensing requirements continue to expand.</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pursuing this strategy, we have partnered, and will continue seeking partnerships, with leading Tier 1 automotive suppliers. It is anticipated that our Tier 1 partners will bid for long-range lidar series production awards with OEMs and that these awards will represent a substantial portion of our future revenues; however, there is no guarantee that this Tier 1 partnership strategy will be successful. If we fail to remain engaged with one or more Tier 1 automotive suppliers, it may have an adverse effect on our business. The markets for lidar are projected to see significant growth in both the near and long term. We believe this expected growth will allow us to capture market share as well as pursue specialized opportunities like highway autonomous driving applications that benefit from our products. We expect that lidar will be a required sensing solution across many end markets, and we intend to be one of the leading solutions providers in these spaces.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is common in early-stage companies with limited operating histories, we are subject to risks and uncertainties such as our ability to develop and commercialize our products; produce and deliver lidar and software products meeting acceptable performance metrics; attract new and retain existing customers; develop, obtain, or progress strategic partnerships; secure an automotive OEM design win; secure additional capital to support the business plan; and other risks and uncertainties such as those described in Part I, Item 1A of our Annual Report on Form 10-K for the year ended December 31, 2025 as filed with the SEC on March 18, 2026 (“2025 Annual Report”). Since inception, we have incurred net losses and negative cash flows from operations and expect to continue incurring losses and negative operating cash flows as we continue to focus on achieving commercialization of our lidar solutions and execute on our strategic initiatives. </w:t>
      </w:r>
    </w:p>
    <w:p>
      <w:pPr>
        <w:pStyle w:val="TextBody"/>
        <w:bidi w:val="0"/>
        <w:spacing w:before="88" w:after="88"/>
        <w:ind w:left="88" w:right="88"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Background</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17, 2021, AEye Technologies, Inc., then known as AEye, Inc. (“AEye Technologies”), entered into the Agreement and Plan of Merger (the “Merger Agreement”) with CF Finance Acquisition Corp. III, a Delaware corporation (“CF III”), now known as AEye, Inc., and Meliora Merger Sub, Inc., a Delaware corporation and a wholly owned subsidiary of CF III (“Merger Sub”). Based on CF III’s business activities, it was a “shell company” as defined under the Securities Exchange Act of 1934, as amended (the “Exchange Act”). On August 16, 2021 (the “Closing Date”), CF III closed the business combination (the “Merger,” and together with the other transactions contemplated by the Merger Agreement, the “Transactions”) pursuant to the Merger Agreement, and Merger Sub was merged with and into AEye Technologies with AEye Technologies surviving the merger as a wholly owned subsidiary of CF III. On the Closing Date, and in connection with the closing of the Transactions (the “Closing”), CF III changed its name to AEye, Inc. Unless otherwise stated or unless the context otherwise requires, the terms “we,” “us,” “our,” “AEye,” “Company,” and “post-combination entity” refer to AEye, Inc. and its subsidiaries following the consummation of the Merger or to AEye Technologies and its subsidiaries prior to the consummation of the Merger.</w:t>
      </w:r>
    </w:p>
    <w:p>
      <w:pPr>
        <w:pStyle w:val="TextBody"/>
        <w:bidi w:val="0"/>
        <w:spacing w:before="115" w:after="115"/>
        <w:ind w:left="115" w:right="115"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pacing w:val="-4"/>
          <w:sz w:val="20"/>
          <w:bdr w:val="single" w:sz="8" w:space="1" w:color="000000"/>
        </w:rPr>
        <w:t>Corporate</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pacing w:val="-2"/>
          <w:sz w:val="20"/>
          <w:bdr w:val="single" w:sz="8" w:space="1" w:color="000000"/>
        </w:rPr>
        <w:t>Information</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 is located at 4670 Willow Road, Suite 125, Pleasanton, CA 94588. Our telephone number is (925) 400-4366. Our website address is </w:t>
      </w:r>
      <w:r>
        <w:rPr>
          <w:rFonts w:ascii="Times New Roman;Times;Serif" w:hAnsi="Times New Roman;Times;Serif"/>
          <w:b w:val="false"/>
          <w:i/>
          <w:caps w:val="false"/>
          <w:smallCaps w:val="false"/>
          <w:sz w:val="20"/>
          <w:bdr w:val="single" w:sz="8" w:space="1" w:color="000000"/>
        </w:rPr>
        <w:t>www.aeye.ai</w:t>
      </w:r>
      <w:r>
        <w:rPr>
          <w:rFonts w:ascii="Times New Roman;Times;Serif" w:hAnsi="Times New Roman;Times;Serif"/>
          <w:b w:val="false"/>
          <w:i w:val="false"/>
          <w:caps w:val="false"/>
          <w:smallCaps w:val="false"/>
          <w:sz w:val="20"/>
          <w:bdr w:val="single" w:sz="8" w:space="1" w:color="000000"/>
        </w:rPr>
        <w:t>. Information contained on our website or connected thereto does not constitute part of, and is not incorporated by reference into, this prospectus or the registration statement of which it forms a part.</w:t>
      </w:r>
    </w:p>
    <w:p>
      <w:pPr>
        <w:pStyle w:val="TextBody"/>
        <w:bidi w:val="0"/>
        <w:spacing w:lineRule="auto" w:line="285" w:before="119" w:after="119"/>
        <w:ind w:left="119" w:right="119"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117" w:after="117"/>
        <w:ind w:left="117" w:right="117"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2"/>
        </w:rPr>
      </w:pPr>
      <w:r>
        <w:rPr>
          <w:caps w:val="false"/>
          <w:smallCaps w:val="false"/>
          <w:spacing w:val="-2"/>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Implications of Being a Smaller Reporting Company</w:t>
      </w:r>
    </w:p>
    <w:p>
      <w:pPr>
        <w:pStyle w:val="TextBody"/>
        <w:bidi w:val="0"/>
        <w:spacing w:lineRule="auto" w:line="264"/>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are a “smaller reporting company” as defined in Rule 12b-2 under the Exchange Act. We may take advantage of certain of the scaled disclosures available to smaller reporting companies and will be able to take advantage of these scaled disclosures for so long as the market value of our common </w:t>
      </w:r>
      <w:r>
        <w:rPr>
          <w:rFonts w:ascii="Times New Roman;Times;Serif" w:hAnsi="Times New Roman;Times;Serif"/>
          <w:b w:val="false"/>
          <w:i w:val="false"/>
          <w:caps w:val="false"/>
          <w:smallCaps w:val="false"/>
          <w:spacing w:val="15"/>
          <w:sz w:val="20"/>
          <w:bdr w:val="single" w:sz="8" w:space="1" w:color="000000"/>
        </w:rPr>
        <w:t>s</w:t>
      </w:r>
      <w:r>
        <w:rPr>
          <w:rFonts w:ascii="Times New Roman;Times;Serif" w:hAnsi="Times New Roman;Times;Serif"/>
          <w:b w:val="false"/>
          <w:i w:val="false"/>
          <w:caps w:val="false"/>
          <w:smallCaps w:val="false"/>
          <w:sz w:val="20"/>
          <w:bdr w:val="single" w:sz="8" w:space="1" w:color="000000"/>
        </w:rPr>
        <w:t xml:space="preserve">tock held by non-affiliates is less than $250.0 million measured on the last business day of our second fiscal quarter, or our annual revenue is less than $100.0 million during the most recently completed fiscal year and the market value of our </w:t>
      </w:r>
      <w:r>
        <w:rPr>
          <w:rFonts w:ascii="Times New Roman;Times;Serif" w:hAnsi="Times New Roman;Times;Serif"/>
          <w:b w:val="false"/>
          <w:i w:val="false"/>
          <w:caps w:val="false"/>
          <w:smallCaps w:val="false"/>
          <w:spacing w:val="15"/>
          <w:sz w:val="20"/>
          <w:bdr w:val="single" w:sz="8" w:space="1" w:color="000000"/>
        </w:rPr>
        <w:t>c</w:t>
      </w:r>
      <w:r>
        <w:rPr>
          <w:rFonts w:ascii="Times New Roman;Times;Serif" w:hAnsi="Times New Roman;Times;Serif"/>
          <w:b w:val="false"/>
          <w:i w:val="false"/>
          <w:caps w:val="false"/>
          <w:smallCaps w:val="false"/>
          <w:sz w:val="20"/>
          <w:bdr w:val="single" w:sz="8" w:space="1" w:color="000000"/>
        </w:rPr>
        <w:t xml:space="preserve">ommon </w:t>
      </w:r>
      <w:r>
        <w:rPr>
          <w:rFonts w:ascii="Times New Roman;Times;Serif" w:hAnsi="Times New Roman;Times;Serif"/>
          <w:b w:val="false"/>
          <w:i w:val="false"/>
          <w:caps w:val="false"/>
          <w:smallCaps w:val="false"/>
          <w:spacing w:val="15"/>
          <w:sz w:val="20"/>
          <w:bdr w:val="single" w:sz="8" w:space="1" w:color="000000"/>
        </w:rPr>
        <w:t>s</w:t>
      </w:r>
      <w:r>
        <w:rPr>
          <w:rFonts w:ascii="Times New Roman;Times;Serif" w:hAnsi="Times New Roman;Times;Serif"/>
          <w:b w:val="false"/>
          <w:i w:val="false"/>
          <w:caps w:val="false"/>
          <w:smallCaps w:val="false"/>
          <w:sz w:val="20"/>
          <w:bdr w:val="single" w:sz="8" w:space="1" w:color="000000"/>
        </w:rPr>
        <w:t xml:space="preserve">tock held by non-affiliates is less than $700.0 million measured on the last business day of our second fiscal </w:t>
      </w:r>
      <w:r>
        <w:rPr>
          <w:rFonts w:ascii="Times New Roman;Times;Serif" w:hAnsi="Times New Roman;Times;Serif"/>
          <w:b w:val="false"/>
          <w:i w:val="false"/>
          <w:caps w:val="false"/>
          <w:smallCaps w:val="false"/>
          <w:spacing w:val="-2"/>
          <w:sz w:val="20"/>
          <w:bdr w:val="single" w:sz="8" w:space="1" w:color="000000"/>
        </w:rPr>
        <w:t>quarter.</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in this prospectus, any accompanying prospectus supplement or the documents incorporated by reference herein that we provide to our investors in the future may be different than what you might receive from other public reporting companies.</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val="false"/>
          <w:i w:val="false"/>
          <w:caps w:val="false"/>
          <w:smallCaps w:val="false"/>
          <w:sz w:val="20"/>
        </w:rPr>
      </w:pPr>
      <w:bookmarkStart w:id="7" w:name="risk"/>
      <w:bookmarkEnd w:id="7"/>
      <w:r>
        <w:rPr>
          <w:rFonts w:ascii="Times New Roman;Times;Serif" w:hAnsi="Times New Roman;Times;Serif"/>
          <w:b/>
          <w:i w:val="false"/>
          <w:caps w:val="false"/>
          <w:smallCaps w:val="false"/>
          <w:spacing w:val="-4"/>
          <w:sz w:val="20"/>
        </w:rPr>
        <w:t>RISK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FACTORS</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any of our securities involves significant risks. Before you make a decision to buy our securities, in addition to the risks and uncertainties discussed above under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xml:space="preserve">,” you should carefully consider the specific risks set forth under the heading “Risk Factors” under Item 1A of Part I of our </w:t>
      </w:r>
      <w:r>
        <w:rPr>
          <w:rFonts w:ascii="Times New Roman;Times;Serif" w:hAnsi="Times New Roman;Times;Serif"/>
          <w:b w:val="false"/>
          <w:i w:val="false"/>
          <w:caps w:val="false"/>
          <w:smallCaps w:val="false"/>
          <w:spacing w:val="11"/>
          <w:sz w:val="20"/>
        </w:rPr>
        <w:t xml:space="preserve">2025 </w:t>
      </w:r>
      <w:r>
        <w:rPr>
          <w:rFonts w:ascii="Times New Roman;Times;Serif" w:hAnsi="Times New Roman;Times;Serif"/>
          <w:b w:val="false"/>
          <w:i w:val="false"/>
          <w:caps w:val="false"/>
          <w:smallCaps w:val="false"/>
          <w:sz w:val="20"/>
        </w:rPr>
        <w:t>Annual Report, any subsequent Quarterly Reports on Form 10-Q, or Current Reports on Form 8-K, and all other information contained or incorporated by reference to this prospectus, as updated by our subsequent filings under the Exchange Act, and the risk factors and other information contained in any applicable prospectus supplement and any applicable free writing prospectus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or any documents incorporated by reference herein are not the only risks and uncertainties that we face. Additional risks and uncertainties not presently known to us or that we currently believe to be immaterial may become material and adversely affect our business. For more information,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8" w:name="use"/>
      <w:bookmarkEnd w:id="8"/>
      <w:r>
        <w:rPr>
          <w:rFonts w:ascii="Times New Roman;Times;Serif" w:hAnsi="Times New Roman;Times;Serif"/>
          <w:b/>
          <w:i w:val="false"/>
          <w:caps w:val="false"/>
          <w:smallCaps w:val="false"/>
          <w:sz w:val="20"/>
        </w:rPr>
        <w:t>USE OF PROCEEDS</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information incorporated by reference or related free writing prospectus, we intend to use the net proceeds from the sale of securities for general corporate purposes.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4" w:after="84"/>
        <w:ind w:left="84" w:right="84" w:hanging="0"/>
        <w:jc w:val="center"/>
        <w:rPr>
          <w:rFonts w:ascii="Times New Roman;Times;Serif" w:hAnsi="Times New Roman;Times;Serif"/>
          <w:b/>
          <w:i w:val="false"/>
          <w:caps w:val="false"/>
          <w:smallCaps w:val="false"/>
          <w:spacing w:val="-6"/>
          <w:sz w:val="20"/>
        </w:rPr>
      </w:pPr>
      <w:bookmarkStart w:id="9" w:name="desc"/>
      <w:bookmarkEnd w:id="9"/>
      <w:r>
        <w:rPr>
          <w:rFonts w:ascii="Times New Roman;Times;Serif" w:hAnsi="Times New Roman;Times;Serif"/>
          <w:b/>
          <w:i w:val="false"/>
          <w:caps w:val="false"/>
          <w:smallCaps w:val="false"/>
          <w:spacing w:val="-6"/>
          <w:sz w:val="20"/>
        </w:rPr>
        <w:t>DESCRIPTION OF SECURITIES WE MAY OFFER</w:t>
      </w:r>
    </w:p>
    <w:p>
      <w:pPr>
        <w:pStyle w:val="TextBody"/>
        <w:bidi w:val="0"/>
        <w:spacing w:before="84" w:after="84"/>
        <w:ind w:left="84" w:right="84" w:hanging="0"/>
        <w:jc w:val="center"/>
        <w:rPr>
          <w:caps w:val="false"/>
          <w:smallCaps w:val="false"/>
          <w:spacing w:val="-6"/>
        </w:rPr>
      </w:pPr>
      <w:r>
        <w:rPr>
          <w:caps w:val="false"/>
          <w:smallCaps w:val="false"/>
          <w:spacing w:val="-6"/>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from time to time, in one or more offerings, the following </w:t>
      </w:r>
      <w:r>
        <w:rPr>
          <w:rFonts w:ascii="Times New Roman;Times;Serif" w:hAnsi="Times New Roman;Times;Serif"/>
          <w:b w:val="false"/>
          <w:i w:val="false"/>
          <w:caps w:val="false"/>
          <w:smallCaps w:val="false"/>
          <w:spacing w:val="-2"/>
          <w:sz w:val="20"/>
        </w:rPr>
        <w:t>securities:</w:t>
      </w:r>
    </w:p>
    <w:p>
      <w:pPr>
        <w:pStyle w:val="TextBody"/>
        <w:bidi w:val="0"/>
        <w:spacing w:before="37" w:after="37"/>
        <w:ind w:left="37" w:right="37"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504"/>
        <w:gridCol w:w="9548"/>
      </w:tblGrid>
      <w:tr>
        <w:trPr/>
        <w:tc>
          <w:tcPr>
            <w:tcW w:w="15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rFonts w:ascii="Symbol" w:hAnsi="Symbol"/>
              </w:rPr>
            </w:pPr>
            <w:r>
              <w:rPr>
                <w:rFonts w:ascii="Symbol" w:hAnsi="Symbol"/>
              </w:rPr>
              <w:t>·</w:t>
            </w:r>
          </w:p>
        </w:tc>
        <w:tc>
          <w:tcPr>
            <w:tcW w:w="9548" w:type="dxa"/>
            <w:tcBorders/>
            <w:vAlign w:val="center"/>
          </w:tcPr>
          <w:p>
            <w:pPr>
              <w:pStyle w:val="TableContents"/>
              <w:bidi w:val="0"/>
              <w:spacing w:before="0" w:after="283"/>
              <w:jc w:val="left"/>
              <w:rPr/>
            </w:pPr>
            <w:r>
              <w:rPr/>
              <w:t xml:space="preserve">shares of common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498"/>
        <w:gridCol w:w="9556"/>
      </w:tblGrid>
      <w:tr>
        <w:trPr/>
        <w:tc>
          <w:tcPr>
            <w:tcW w:w="1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rFonts w:ascii="Symbol" w:hAnsi="Symbol"/>
              </w:rPr>
            </w:pPr>
            <w:r>
              <w:rPr>
                <w:rFonts w:ascii="Symbol" w:hAnsi="Symbol"/>
              </w:rPr>
              <w:t>·</w:t>
            </w:r>
          </w:p>
        </w:tc>
        <w:tc>
          <w:tcPr>
            <w:tcW w:w="9556" w:type="dxa"/>
            <w:tcBorders/>
            <w:vAlign w:val="center"/>
          </w:tcPr>
          <w:p>
            <w:pPr>
              <w:pStyle w:val="TableContents"/>
              <w:bidi w:val="0"/>
              <w:spacing w:before="0" w:after="283"/>
              <w:jc w:val="left"/>
              <w:rPr/>
            </w:pPr>
            <w:r>
              <w:rPr/>
              <w:t xml:space="preserve">shares of preferred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debt securities, which may be senior or subordinated and may be convertible into or exchangeable for common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 xml:space="preserve">warrants exercisable for debt securities, common stock or preferred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90"/>
        <w:gridCol w:w="9828"/>
      </w:tblGrid>
      <w:tr>
        <w:trPr/>
        <w:tc>
          <w:tcPr>
            <w:tcW w:w="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rPr>
            </w:pPr>
            <w:r>
              <w:rPr>
                <w:rFonts w:ascii="Symbol" w:hAnsi="Symbol"/>
              </w:rPr>
              <w:t>·</w:t>
            </w:r>
          </w:p>
        </w:tc>
        <w:tc>
          <w:tcPr>
            <w:tcW w:w="9828" w:type="dxa"/>
            <w:tcBorders/>
            <w:vAlign w:val="center"/>
          </w:tcPr>
          <w:p>
            <w:pPr>
              <w:pStyle w:val="TableContents"/>
              <w:bidi w:val="0"/>
              <w:spacing w:before="0" w:after="283"/>
              <w:jc w:val="left"/>
              <w:rPr/>
            </w:pPr>
            <w:r>
              <w:rPr/>
              <w:t xml:space="preserve">rights to purchase any of such securities; </w:t>
            </w:r>
            <w:r>
              <w:rPr>
                <w:spacing w:val="-5"/>
              </w:rPr>
              <w:t>and</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left"/>
              <w:rPr/>
            </w:pPr>
            <w:r>
              <w:rPr/>
              <w:t xml:space="preserve">units of debt securities, common stock, preferred stock, or warrants, in any </w:t>
            </w:r>
            <w:r>
              <w:rPr>
                <w:spacing w:val="-2"/>
              </w:rPr>
              <w:t>combination.</w:t>
            </w:r>
          </w:p>
        </w:tc>
      </w:tr>
    </w:tbl>
    <w:p>
      <w:pPr>
        <w:pStyle w:val="TextBody"/>
        <w:bidi w:val="0"/>
        <w:spacing w:before="23" w:after="23"/>
        <w:ind w:left="23" w:right="23"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 for information about how to obtain copies of those documents.</w:t>
      </w:r>
    </w:p>
    <w:p>
      <w:pPr>
        <w:pStyle w:val="TextBody"/>
        <w:bidi w:val="0"/>
        <w:spacing w:before="15" w:after="15"/>
        <w:ind w:left="15" w:right="1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0" w:name="descof"/>
      <w:bookmarkEnd w:id="10"/>
      <w:r>
        <w:rPr>
          <w:rFonts w:ascii="Times New Roman;Times;Serif" w:hAnsi="Times New Roman;Times;Serif"/>
          <w:b/>
          <w:i w:val="false"/>
          <w:caps w:val="false"/>
          <w:smallCaps w:val="false"/>
          <w:sz w:val="20"/>
        </w:rPr>
        <w:t>DESCRIPTION OF CAPITAL 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material features of our capital stock is a summary and does not purport to be complete. The description is subject to and qualified in its entirety by reference to (i) our Second Amended and Restated Certificate of Incorporation, as amended by the Certificate of Amendment, dated May 11, 2023 and the Certificate of Amendment, dated December 26, 2023 (the “Amended Charter”), (ii) our Amended and Restated Bylaws (the “Amended Bylaws”), and (iii) the Form of Indemnification Agreement, each of which is incorporated by reference as an exhibit or incorporated by reference by filings incorporated into this Prospectus.</w:t>
      </w:r>
    </w:p>
    <w:p>
      <w:pPr>
        <w:pStyle w:val="TextBody"/>
        <w:bidi w:val="0"/>
        <w:spacing w:before="116" w:after="116"/>
        <w:ind w:left="116" w:right="116"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is to engage in any lawful act or activity for which corporations may be organized under the Delaware General Corporation Law (“DGCL”). Our authorized capital stock consists of (a) 600,000,000 shares of common stock, par value $0.0001 per share and (b) 1,000,000 shares of preferred stock, par value $0.0001 per share. As of May 12, 2026, 46,314,820 shares of common stock were issued and outstanding. As of the date of this prospectus, no shares of preferred stock are issued or outstanding. Unless our Board determines otherwise, we will issue all shares of our capital stock in uncertificated form.</w:t>
      </w:r>
    </w:p>
    <w:p>
      <w:pPr>
        <w:pStyle w:val="TextBody"/>
        <w:bidi w:val="0"/>
        <w:spacing w:before="118" w:after="118"/>
        <w:ind w:left="118" w:right="118" w:hanging="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Common </w:t>
      </w:r>
      <w:r>
        <w:rPr>
          <w:rFonts w:ascii="Times New Roman;Times;Serif" w:hAnsi="Times New Roman;Times;Serif"/>
          <w:b/>
          <w:i w:val="false"/>
          <w:caps w:val="false"/>
          <w:smallCaps w:val="false"/>
          <w:spacing w:val="-2"/>
          <w:sz w:val="20"/>
        </w:rPr>
        <w:t>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 xml:space="preserve">Each holder of </w:t>
      </w:r>
      <w:r>
        <w:rPr>
          <w:rFonts w:ascii="Times New Roman;Times;Serif" w:hAnsi="Times New Roman;Times;Serif"/>
          <w:b w:val="false"/>
          <w:i w:val="false"/>
          <w:caps w:val="false"/>
          <w:smallCaps w:val="false"/>
          <w:spacing w:val="10"/>
          <w:sz w:val="20"/>
        </w:rPr>
        <w:t>c</w:t>
      </w:r>
      <w:r>
        <w:rPr>
          <w:rFonts w:ascii="Times New Roman;Times;Serif" w:hAnsi="Times New Roman;Times;Serif"/>
          <w:b w:val="false"/>
          <w:i w:val="false"/>
          <w:caps w:val="false"/>
          <w:smallCaps w:val="false"/>
          <w:sz w:val="20"/>
        </w:rPr>
        <w:t xml:space="preserve">ommon </w:t>
      </w:r>
      <w:r>
        <w:rPr>
          <w:rFonts w:ascii="Times New Roman;Times;Serif" w:hAnsi="Times New Roman;Times;Serif"/>
          <w:b w:val="false"/>
          <w:i w:val="false"/>
          <w:caps w:val="false"/>
          <w:smallCaps w:val="false"/>
          <w:spacing w:val="10"/>
          <w:sz w:val="20"/>
        </w:rPr>
        <w:t>s</w:t>
      </w:r>
      <w:r>
        <w:rPr>
          <w:rFonts w:ascii="Times New Roman;Times;Serif" w:hAnsi="Times New Roman;Times;Serif"/>
          <w:b w:val="false"/>
          <w:i w:val="false"/>
          <w:caps w:val="false"/>
          <w:smallCaps w:val="false"/>
          <w:sz w:val="20"/>
        </w:rPr>
        <w:t>tock is entitled to one (1) vote in person or by proxy for each share of the common stock held of record by such holder. The holders of shares of the common stock do not have cumulative voting rights.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Rights.</w:t>
      </w:r>
      <w:r>
        <w:rPr>
          <w:rFonts w:ascii="Times New Roman;Times;Serif" w:hAnsi="Times New Roman;Times;Serif"/>
          <w:b w:val="false"/>
          <w:i w:val="false"/>
          <w:caps w:val="false"/>
          <w:smallCaps w:val="false"/>
          <w:sz w:val="20"/>
        </w:rPr>
        <w:t xml:space="preserve"> Subject to any other provisions of the Amended Charter, each holder of common stock is entitled to receive such dividends and other distributions in cash, stock, or property of the Company when, as and if declared thereon by our Board from time to time out of assets or funds of the Company legally available therefor and shall share equally on a per share basis in such dividends and distributions.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xml:space="preserve"> In the event of any voluntary or involuntary liquidation, dissolution, or winding up of the Company, subject to applicable law, the rights, if any, of the holders of any outstanding series of the preferred stock, after payment or provision for payment of the debts and other liabilities of the Company, the holders of the shares of common stock are entitled to receive all the remaining assets of the Company available for distribution to its stockholders, ratably in proportion to the number of shares of common stock held by them.</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Matters.</w:t>
      </w:r>
      <w:r>
        <w:rPr>
          <w:rFonts w:ascii="Times New Roman;Times;Serif" w:hAnsi="Times New Roman;Times;Serif"/>
          <w:b w:val="false"/>
          <w:i w:val="false"/>
          <w:caps w:val="false"/>
          <w:smallCaps w:val="false"/>
          <w:sz w:val="20"/>
        </w:rPr>
        <w:t xml:space="preserve"> The rights, preferences, and privileges of the holders of our common stock are subject to, and may be adversely affected by, the rights of the holders of shares of any series of our preferred stock, including any series of preferred stock which we may designate in the future. There are no redemption or sinking fund provisions applicable to the common stock. All outstanding shares of common stock are fully paid and </w:t>
      </w:r>
      <w:r>
        <w:rPr>
          <w:rFonts w:ascii="Times New Roman;Times;Serif" w:hAnsi="Times New Roman;Times;Serif"/>
          <w:b w:val="false"/>
          <w:i w:val="false"/>
          <w:caps w:val="false"/>
          <w:smallCaps w:val="false"/>
          <w:spacing w:val="-2"/>
          <w:sz w:val="20"/>
        </w:rPr>
        <w:t>nonassessable.</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Listing.</w:t>
      </w:r>
      <w:r>
        <w:rPr>
          <w:rFonts w:ascii="Times New Roman;Times;Serif" w:hAnsi="Times New Roman;Times;Serif"/>
          <w:b w:val="false"/>
          <w:i w:val="false"/>
          <w:caps w:val="false"/>
          <w:smallCaps w:val="false"/>
          <w:sz w:val="20"/>
        </w:rPr>
        <w:t xml:space="preserve"> The common stock is listed for trading on Nasdaq under the symbol </w:t>
      </w:r>
      <w:r>
        <w:rPr>
          <w:rFonts w:ascii="Times New Roman;Times;Serif" w:hAnsi="Times New Roman;Times;Serif"/>
          <w:b w:val="false"/>
          <w:i w:val="false"/>
          <w:caps w:val="false"/>
          <w:smallCaps w:val="false"/>
          <w:spacing w:val="-2"/>
          <w:sz w:val="20"/>
        </w:rPr>
        <w:t>“LIDR.”</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Agent.</w:t>
      </w:r>
      <w:r>
        <w:rPr>
          <w:rFonts w:ascii="Times New Roman;Times;Serif" w:hAnsi="Times New Roman;Times;Serif"/>
          <w:b w:val="false"/>
          <w:i w:val="false"/>
          <w:caps w:val="false"/>
          <w:smallCaps w:val="false"/>
          <w:sz w:val="20"/>
        </w:rPr>
        <w:t xml:space="preserve"> Broadridge Corporate Issuer Solutions, Inc. acts as the transfer agent of the common stock</w:t>
      </w:r>
      <w:r>
        <w:rPr>
          <w:rFonts w:ascii="Times New Roman;Times;Serif" w:hAnsi="Times New Roman;Times;Serif"/>
          <w:b w:val="false"/>
          <w:i w:val="false"/>
          <w:caps w:val="false"/>
          <w:smallCaps w:val="false"/>
          <w:spacing w:val="-2"/>
          <w:sz w:val="20"/>
        </w:rPr>
        <w:t>.</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Preferred </w:t>
      </w:r>
      <w:r>
        <w:rPr>
          <w:rFonts w:ascii="Times New Roman;Times;Serif" w:hAnsi="Times New Roman;Times;Serif"/>
          <w:b/>
          <w:i w:val="false"/>
          <w:caps w:val="false"/>
          <w:smallCaps w:val="false"/>
          <w:spacing w:val="-2"/>
          <w:sz w:val="20"/>
        </w:rPr>
        <w:t>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Amended Charter, our Board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DGCL. The issuance of preferred stock could have the effect of decreasing the trading price of the common stock, restricting dividends on our capital stock, diluting the voting power of the common stock, impairing the liquidation rights of our capital stock, or delaying or preventing a change in control of the Company. Although we do not currently intend to issue any shares of preferred stock, we cannot assure you that we will not do so in the future.</w:t>
      </w:r>
    </w:p>
    <w:p>
      <w:pPr>
        <w:pStyle w:val="TextBody"/>
        <w:bidi w:val="0"/>
        <w:spacing w:before="15" w:after="15"/>
        <w:ind w:left="15" w:right="15"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Certain Provisions of Delaware Law, Our Certificate of Incorporation and Our Bylaws</w:t>
      </w:r>
    </w:p>
    <w:p>
      <w:pPr>
        <w:pStyle w:val="TextBody"/>
        <w:bidi w:val="0"/>
        <w:spacing w:before="119" w:after="119"/>
        <w:ind w:left="119" w:right="119" w:hanging="0"/>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 xml:space="preserve">Section 203 of the Delaware General Corporation </w:t>
      </w:r>
      <w:r>
        <w:rPr>
          <w:rFonts w:ascii="Times New Roman;Times;Serif" w:hAnsi="Times New Roman;Times;Serif"/>
          <w:b w:val="false"/>
          <w:i/>
          <w:caps w:val="false"/>
          <w:smallCaps w:val="false"/>
          <w:spacing w:val="-5"/>
          <w:sz w:val="18"/>
        </w:rPr>
        <w:t>Law</w:t>
      </w:r>
    </w:p>
    <w:p>
      <w:pPr>
        <w:pStyle w:val="TextBody"/>
        <w:bidi w:val="0"/>
        <w:spacing w:lineRule="auto" w:line="264" w:before="119" w:after="119"/>
        <w:ind w:left="119" w:right="119"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is applicable to takeovers of certain Delaware corporations, including us. Subject to exceptions enumerated therein, Section 203 provides that a corporation shall not engage in any business combination with any “interested stockholder” for a three-year period following the date that the stockholder becomes an interested stockholder unless:</w:t>
      </w:r>
    </w:p>
    <w:p>
      <w:pPr>
        <w:pStyle w:val="TextBody"/>
        <w:bidi w:val="0"/>
        <w:spacing w:lineRule="auto" w:line="264"/>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prior to that date, the board of directors of the corporation approved either the business combination or the transaction that resulted in the stockholder becoming an interested stockholder;</w:t>
            </w:r>
          </w:p>
        </w:tc>
      </w:tr>
    </w:tbl>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upon consummation of the transaction that resulted in the stockholder becoming an interested stockholder, the interested stockholder owned at least 85% of the voting stock of the corporation outstanding at the time the transaction commenced, though some shares may be excluded from the calculation; or</w:t>
            </w:r>
          </w:p>
        </w:tc>
      </w:tr>
    </w:tbl>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on or subsequent to that date, the business combination is approved by the board of directors of the corporation and by the affirmative votes of holders of at least two-thirds of the outstanding voting stock that is not owned by the interested stockholder.</w:t>
            </w:r>
          </w:p>
        </w:tc>
      </w:tr>
    </w:tbl>
    <w:p>
      <w:pPr>
        <w:pStyle w:val="TextBody"/>
        <w:bidi w:val="0"/>
        <w:ind w:left="720" w:right="0" w:hanging="36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“business combination” is defined to include, among other transactions between an interested stockholder and a corporation or any direct or indirect majority owned subsidiary thereof: a merger or consolidation; a sale, lease, exchange, mortgage, pledge, transfer or other disposition (including as part of a dissolution) of assets having an aggregate market value equal to 10% or more of either the aggregate market value of all assets of the corporation on a consolidated basis or the aggregate market value of all the outstanding stock of the corporation; certain transactions that would result in the issuance or transfer by the corporation of any of its stock to the interested stockholder; certain transactions that would increase the interested stockholder’s proportionate share ownership of the stock of any class or series of the corporation or such subsidiary; and any receipt by the interested stockholder of the benefit of any loans, advances, guarantees, pledges, or other financial benefits provided by or through the corporation or any such subsidiary.</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specified in Section 203, an interested stockholder is generally defined to include any person who, together with any affiliates or associates of that person, beneficially owns, directly or indirectly, 15% or more of the outstanding voting stock of the corporation, or is an affiliate or associate of the corporation and was the owner of 15% or more of the outstanding voting stock of the corporation, any time within three years immediately prior to the relevant date. Under certain circumstances, Section 203 makes it more difficult for an interested stockholder to effect various business combinations with a corporation for a three-year period, although the stockholders may elect not to be governed by this section, by adopting an amendment to the Amended Charter or the Bylaws, effective 12 months after adoption. Our Amended Charter and Bylaws do not opt out from the restrictions imposed under Section 203. We anticipate that the provisions of Section 203 may encourage companies interested in acquiring us to negotiate in advance with the board of directors because the stockholder approval requirement would be avoided if a majority of the directors then in office excluding an interested stockholder approve either the business combination or the transaction that resulted in the stockholder becoming an interested stockholder. These provisions may have the effect of deterring hostile takeovers or delaying changes in control, which could depress the market price of our common stock and deprive stockholders of opportunities to realize a premium on shares of common stock held by them.</w:t>
      </w:r>
    </w:p>
    <w:p>
      <w:pPr>
        <w:pStyle w:val="TextBody"/>
        <w:bidi w:val="0"/>
        <w:spacing w:before="64" w:after="64"/>
        <w:ind w:left="64" w:right="6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Amended Charter and Bylaw </w:t>
      </w:r>
      <w:r>
        <w:rPr>
          <w:rFonts w:ascii="Times New Roman;Times;Serif" w:hAnsi="Times New Roman;Times;Serif"/>
          <w:b w:val="false"/>
          <w:i/>
          <w:caps w:val="false"/>
          <w:smallCaps w:val="false"/>
          <w:spacing w:val="-2"/>
          <w:sz w:val="20"/>
        </w:rPr>
        <w:t>Provisions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shares of preferred stock, our Amended Charter and Amended Bylaws contain the following provisions that may have the effect of discouraging unsolicited acquisition proposals:</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classify the board of directors into three classes with staggered three-year terms (except for certain initial year terms);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under our Amended Charter and Amended Bylaws, our Board may enlarge the size of the board and fill the </w:t>
            </w:r>
            <w:r>
              <w:rPr>
                <w:spacing w:val="-2"/>
              </w:rPr>
              <w:t>vacancies;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a stockholder may not nominate candidates for the board of directors at any annual or special meeting unless that stockholder notifies us of its intention a specified period in advance and provides us with certain required information;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our Amended Charter and Amended Bylaws provide that stockholders may remove our directors only for </w:t>
            </w:r>
            <w:r>
              <w:rPr>
                <w:spacing w:val="-2"/>
              </w:rPr>
              <w:t>cause;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stockholders who wish to bring business before the stockholders at our annual meeting must provide advance notice;</w:t>
            </w:r>
          </w:p>
        </w:tc>
      </w:tr>
    </w:tbl>
    <w:p>
      <w:pPr>
        <w:pStyle w:val="TextBody"/>
        <w:bidi w:val="0"/>
        <w:spacing w:lineRule="auto" w:line="264" w:before="100" w:after="100"/>
        <w:ind w:left="100" w:right="10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except for limited exceptions, any action required or permitted to be taken by the stockholders must be effected by a duly called annual or special meeting of such stockholders and may not be effected by written consent of the stockholders;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special meetings of stockholders may only be called by the chairman of our Board, our Chief Executive Officer, or our Board pursuant to a resolution adopted by a majority of our Board.</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and Amended Bylaws also provide that, unless we consent in writing to the selection of an alternative forum, the Court of Chancery of the State of Delaware will be the sole and exclusive forum for:</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pPr>
            <w:r>
              <w:rPr/>
              <w:t>any derivative action or proceeding brought on our behalf;</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any action asserting a claim of breach of a fiduciary duty owed by any director, officer, or other employee of the Company to us or our stockholders;</w:t>
            </w:r>
          </w:p>
        </w:tc>
      </w:tr>
    </w:tbl>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pPr>
            <w:r>
              <w:rPr/>
              <w:t>any action asserting a claim arising pursuant to any provision of the DGCL or our Charters; or</w:t>
            </w:r>
          </w:p>
        </w:tc>
      </w:tr>
    </w:tbl>
    <w:tbl>
      <w:tblPr>
        <w:tblW w:w="6647" w:type="dxa"/>
        <w:jc w:val="left"/>
        <w:tblInd w:w="0" w:type="dxa"/>
        <w:tblLayout w:type="fixed"/>
        <w:tblCellMar>
          <w:top w:w="0" w:type="dxa"/>
          <w:left w:w="0" w:type="dxa"/>
          <w:bottom w:w="0" w:type="dxa"/>
          <w:right w:w="0" w:type="dxa"/>
        </w:tblCellMar>
      </w:tblPr>
      <w:tblGrid>
        <w:gridCol w:w="38"/>
        <w:gridCol w:w="110"/>
        <w:gridCol w:w="6499"/>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t xml:space="preserve">any action asserting a claim governed by the internal affairs </w:t>
            </w:r>
            <w:r>
              <w:rPr>
                <w:spacing w:val="-2"/>
              </w:rPr>
              <w:t>doctrine.</w:t>
            </w:r>
          </w:p>
        </w:tc>
      </w:tr>
    </w:tbl>
    <w:p>
      <w:pPr>
        <w:pStyle w:val="TextBody"/>
        <w:bidi w:val="0"/>
        <w:spacing w:before="35" w:after="35"/>
        <w:ind w:left="35" w:right="35"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and Amended Bylaws further provide that any person or entity purchasing or otherwise acquiring any interest in shares of capital stock of the company is deemed to have notice of and consented to the foregoing provision.</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xml:space="preserve"> Unless otherwise required by the DGCL or other applicable law, the holders of record of one-third of the voting power of our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such stockholders will have power to adjourn the meeting from time to time until a quorum shall attend.</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Capital Stock</w:t>
      </w:r>
      <w:r>
        <w:rPr>
          <w:rFonts w:ascii="Times New Roman;Times;Serif" w:hAnsi="Times New Roman;Times;Serif"/>
          <w:b w:val="false"/>
          <w:i w:val="false"/>
          <w:caps w:val="false"/>
          <w:smallCaps w:val="false"/>
          <w:sz w:val="20"/>
        </w:rPr>
        <w:t>. The DGCL does not require stockholder approval for any issuance of authorized shares. However, the listing requirements of NASDAQ, which would apply if and so long as the common stock remains listed on NASDAQ, require stockholder approval of certain issuances equal to or exceeding 20% of the then outstanding voting power or then outstanding number of shares of the common stock. Additional shares that may be issued in the future may be used for a variety of corporate purposes, including future public offerings, to raise additional capital, or to facilitate acquisitions.</w:t>
      </w:r>
    </w:p>
    <w:p>
      <w:pPr>
        <w:pStyle w:val="TextBody"/>
        <w:bidi w:val="0"/>
        <w:spacing w:before="66" w:after="66"/>
        <w:ind w:left="66" w:right="66"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common stock at prices higher than prevailing market prices.</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Stockholder Meetings.</w:t>
      </w:r>
      <w:r>
        <w:rPr>
          <w:rFonts w:ascii="Times New Roman;Times;Serif" w:hAnsi="Times New Roman;Times;Serif"/>
          <w:b w:val="false"/>
          <w:i w:val="false"/>
          <w:caps w:val="false"/>
          <w:smallCaps w:val="false"/>
          <w:sz w:val="20"/>
        </w:rPr>
        <w:t xml:space="preserve"> Our Amended Bylaws provide that annual stockholder meetings will be held at a date, time, and place, if any, as exclusively selected by our Board. To the extent permitted under applicable law, our Board may conduct meetings by remote communications. 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 of business on the 120th day prior to the anniversary date of the immediately preceding our annual meeting of stockholders. Pursuant to Rule 14a-8 of the Exchange Act, proposals seeking inclusion in our annual proxy statement must comply with the notice periods contained in the annual proxy statement. Our Amended Charter specifies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w:t>
      </w:r>
    </w:p>
    <w:p>
      <w:pPr>
        <w:pStyle w:val="TextBody"/>
        <w:bidi w:val="0"/>
        <w:spacing w:lineRule="auto" w:line="264"/>
        <w:jc w:val="left"/>
        <w:rPr>
          <w:caps w:val="false"/>
          <w:smallCaps w:val="false"/>
          <w:spacing w:val="28"/>
        </w:rPr>
      </w:pPr>
      <w:r>
        <w:rPr>
          <w:caps w:val="false"/>
          <w:smallCaps w:val="false"/>
          <w:spacing w:val="28"/>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28"/>
        </w:rPr>
      </w:pPr>
      <w:r>
        <w:rPr>
          <w:caps w:val="false"/>
          <w:smallCaps w:val="false"/>
          <w:spacing w:val="28"/>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w:t>
      </w:r>
    </w:p>
    <w:p>
      <w:pPr>
        <w:pStyle w:val="TextBody"/>
        <w:bidi w:val="0"/>
        <w:spacing w:before="12" w:after="12"/>
        <w:ind w:left="12" w:right="12"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The Amended Charter provides that special meetings of our stockholders may be called only by the chairman of our Board, our Chief Executive Officer, or our Board pursuant to a resolution adopted by a majority of our Board. Our stockholders will not be eligible and will have no right to call a special meeting.</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Bylaws also provide that unless otherwise restricted by the Amended Charter or the Amended Bylaws, any action required or permitted to be taken at any meeting of our Board, or of any committee thereof, may be taken without a meeting, if all members of our Board or committee thereof, as the case may be, consent thereto in writing or by electronic transmission, and the writing or writings or electronic transmission or transmissions (or paper reproductions thereof) are filed with the minutes of proceedings of our Board or committee thereof.</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The Amended Bylaws may be amended, altered or repealed (A) by the affirmative vote of a majority of our entire Board; or (B) by the affirmative vote of the holders of at least a majority of the voting power of the shares entitled to vote at an election of directors.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 on Liability and Indemnification of Officers and Directors.</w:t>
      </w:r>
      <w:r>
        <w:rPr>
          <w:rFonts w:ascii="Times New Roman;Times;Serif" w:hAnsi="Times New Roman;Times;Serif"/>
          <w:b w:val="false"/>
          <w:i w:val="false"/>
          <w:caps w:val="false"/>
          <w:smallCaps w:val="false"/>
          <w:sz w:val="20"/>
        </w:rPr>
        <w:t xml:space="preserve"> The DGCL authorizes corporations to limit or eliminate the personal liability of directors and officers to corporations and their stockholders for monetary damages for breaches of fiduciary duties, subject to certain exceptions, provided that such provision shall not eliminate or limit the liability of an officer in any action by or in the right of the corporation.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7" w:after="67"/>
        <w:ind w:left="67" w:right="67"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1" w:name="debt"/>
      <w:bookmarkEnd w:id="11"/>
      <w:r>
        <w:rPr>
          <w:rFonts w:ascii="Times New Roman;Times;Serif" w:hAnsi="Times New Roman;Times;Serif"/>
          <w:b/>
          <w:i w:val="false"/>
          <w:caps w:val="false"/>
          <w:smallCaps w:val="false"/>
          <w:sz w:val="20"/>
        </w:rPr>
        <w:t>DESCRIPTION OF DEBT SECURITIES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w:t>
      </w:r>
      <w:r>
        <w:rPr>
          <w:rFonts w:ascii="Times New Roman;Times;Serif" w:hAnsi="Times New Roman;Times;Serif"/>
          <w:b w:val="false"/>
          <w:i w:val="false"/>
          <w:caps w:val="false"/>
          <w:smallCaps w:val="false"/>
          <w:spacing w:val="-2"/>
          <w:sz w:val="20"/>
        </w:rPr>
        <w:t>supplement.</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any senior debt securities under the senior indenture which we will enter into with the trustee to be named in the senior indenture. We will issue any subordinated debt securities under the subordinated indenture which we will enter into with the trustee to be named in the subordinated indenture. We have filed forms of these indentures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Unless the context requires otherwise, we use the term “indenture” to refer to both the senior indenture and the subordinated indenture, as well as to refer to any supplemental indentures that specify the terms of a particular series of debt securities. Except as we may otherwise indicate, the terms of the senior indenture and the subordinated indenture are identical.</w:t>
      </w:r>
    </w:p>
    <w:p>
      <w:pPr>
        <w:pStyle w:val="TextBody"/>
        <w:bidi w:val="0"/>
        <w:spacing w:before="14" w:after="14"/>
        <w:ind w:left="14" w:right="14"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be qualified under the Trust Indenture Act of 1939. We use the term “trustee” to refer to either the senior trustee or the subordinated trustee, as applicable.</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senior debt securities, the subordinated debt securities, and the indenture is subject to, and is qualified in its entirety by reference to, all the provisions of the indenture applicable to a particular series of debt securities. We urge you to read the applicable prospectus supplement related to the debt securities that we sell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does not limit the aggregate principal amount of debt securities that may be issued thereunder. The debt securities may be issued from time to time in one or more series and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that series (including any pricing supplement or term sheet), including the following terms, if </w:t>
      </w:r>
      <w:r>
        <w:rPr>
          <w:rFonts w:ascii="Times New Roman;Times;Serif" w:hAnsi="Times New Roman;Times;Serif"/>
          <w:b w:val="false"/>
          <w:i w:val="false"/>
          <w:caps w:val="false"/>
          <w:smallCaps w:val="false"/>
          <w:spacing w:val="-2"/>
          <w:sz w:val="20"/>
        </w:rPr>
        <w:t>applicable:</w:t>
      </w:r>
    </w:p>
    <w:tbl>
      <w:tblPr>
        <w:tblW w:w="5000" w:type="pct"/>
        <w:jc w:val="left"/>
        <w:tblInd w:w="0" w:type="dxa"/>
        <w:tblLayout w:type="fixed"/>
        <w:tblCellMar>
          <w:top w:w="0" w:type="dxa"/>
          <w:left w:w="0" w:type="dxa"/>
          <w:bottom w:w="0" w:type="dxa"/>
          <w:right w:w="0" w:type="dxa"/>
        </w:tblCellMar>
      </w:tblPr>
      <w:tblGrid>
        <w:gridCol w:w="133"/>
        <w:gridCol w:w="385"/>
        <w:gridCol w:w="9687"/>
      </w:tblGrid>
      <w:tr>
        <w:trPr/>
        <w:tc>
          <w:tcPr>
            <w:tcW w:w="1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687" w:type="dxa"/>
            <w:tcBorders/>
            <w:vAlign w:val="center"/>
          </w:tcPr>
          <w:p>
            <w:pPr>
              <w:pStyle w:val="TableContents"/>
              <w:bidi w:val="0"/>
              <w:spacing w:before="0" w:after="283"/>
              <w:jc w:val="left"/>
              <w:rPr/>
            </w:pPr>
            <w:r>
              <w:rPr/>
              <w:t xml:space="preserve">the title of the debt </w:t>
            </w:r>
            <w:r>
              <w:rPr>
                <w:spacing w:val="-2"/>
              </w:rPr>
              <w:t>securities;</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price or prices (expressed as a percentage of the principal amount) at which we will sell the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aggregate principal amount of the debt securities being offered and any limit on the aggregate principal amount of that series of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whether any of our direct or indirect subsidiaries will guarantee the debt securities, including the terms of subordination, if any, of those guarantees;</w:t>
            </w:r>
          </w:p>
        </w:tc>
      </w:tr>
    </w:tbl>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 xml:space="preserve">the terms of the subordination of any series of subordinated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7"/>
        <w:gridCol w:w="10008"/>
      </w:tblGrid>
      <w:tr>
        <w:trPr/>
        <w:tc>
          <w:tcPr>
            <w:tcW w:w="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w:t>
            </w:r>
          </w:p>
        </w:tc>
        <w:tc>
          <w:tcPr>
            <w:tcW w:w="10008" w:type="dxa"/>
            <w:tcBorders/>
            <w:vAlign w:val="center"/>
          </w:tcPr>
          <w:p>
            <w:pPr>
              <w:pStyle w:val="TableContents"/>
              <w:bidi w:val="0"/>
              <w:spacing w:before="0" w:after="283"/>
              <w:jc w:val="left"/>
              <w:rPr/>
            </w:pPr>
            <w:r>
              <w:rPr/>
              <w:t xml:space="preserve">the date or dates on which the principal of the securities of the series is </w:t>
            </w:r>
            <w:r>
              <w:rPr>
                <w:spacing w:val="-2"/>
              </w:rPr>
              <w:t>payable;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6"/>
        <w:gridCol w:w="9983"/>
      </w:tblGrid>
      <w:tr>
        <w:trP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 xml:space="preserve">the interest rate, if any, and the method for calculating the interest </w:t>
            </w:r>
            <w:r>
              <w:rPr>
                <w:spacing w:val="-2"/>
              </w:rPr>
              <w:t>rate;</w:t>
            </w:r>
          </w:p>
        </w:tc>
      </w:tr>
    </w:tbl>
    <w:p>
      <w:pPr>
        <w:pStyle w:val="TextBody"/>
        <w:bidi w:val="0"/>
        <w:spacing w:before="86" w:after="86"/>
        <w:ind w:left="720" w:right="86"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439"/>
        <w:gridCol w:w="9615"/>
      </w:tblGrid>
      <w:tr>
        <w:trPr/>
        <w:tc>
          <w:tcPr>
            <w:tcW w:w="1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w:t>
            </w:r>
          </w:p>
        </w:tc>
        <w:tc>
          <w:tcPr>
            <w:tcW w:w="9615" w:type="dxa"/>
            <w:tcBorders/>
            <w:vAlign w:val="center"/>
          </w:tcPr>
          <w:p>
            <w:pPr>
              <w:pStyle w:val="TableContents"/>
              <w:bidi w:val="0"/>
              <w:spacing w:before="0" w:after="283"/>
              <w:jc w:val="left"/>
              <w:rPr/>
            </w:pPr>
            <w:r>
              <w:rPr/>
              <w:t xml:space="preserve">the identity of the </w:t>
            </w:r>
            <w:r>
              <w:rPr>
                <w:spacing w:val="-2"/>
              </w:rPr>
              <w:t>trustee;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dates from which interest will accrue, the interest payment dates and the record dates for the interest </w:t>
            </w:r>
            <w:r>
              <w:rPr>
                <w:spacing w:val="-2"/>
              </w:rPr>
              <w:t>payments;</w:t>
            </w:r>
          </w:p>
        </w:tc>
      </w:tr>
    </w:tbl>
    <w:p>
      <w:pPr>
        <w:pStyle w:val="TextBody"/>
        <w:bidi w:val="0"/>
        <w:spacing w:before="11" w:after="11"/>
        <w:ind w:left="11" w:right="11" w:hanging="0"/>
        <w:jc w:val="left"/>
        <w:rPr>
          <w:caps w:val="false"/>
          <w:smallCaps w:val="false"/>
        </w:rPr>
      </w:pPr>
      <w:r>
        <w:rPr>
          <w:caps w:val="false"/>
          <w:smallCaps w:val="false"/>
        </w:rPr>
        <w:t> </w:t>
      </w:r>
    </w:p>
    <w:p>
      <w:pPr>
        <w:pStyle w:val="TextBody"/>
        <w:bidi w:val="0"/>
        <w:spacing w:lineRule="auto" w:line="264"/>
        <w:ind w:left="720" w:right="0" w:hanging="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place or places where the principal of, and any premium or interest on, the debt securities shall be payable, where the securities of that series may be surrendered for registration of transfer or exchange, and where notices and demands to us in respect of the debt securities may be delivered;</w:t>
            </w:r>
          </w:p>
        </w:tc>
      </w:tr>
    </w:tbl>
    <w:tbl>
      <w:tblPr>
        <w:tblW w:w="5000" w:type="pct"/>
        <w:jc w:val="left"/>
        <w:tblInd w:w="0" w:type="dxa"/>
        <w:tblLayout w:type="fixed"/>
        <w:tblCellMar>
          <w:top w:w="0" w:type="dxa"/>
          <w:left w:w="0" w:type="dxa"/>
          <w:bottom w:w="0" w:type="dxa"/>
          <w:right w:w="0" w:type="dxa"/>
        </w:tblCellMar>
      </w:tblPr>
      <w:tblGrid>
        <w:gridCol w:w="87"/>
        <w:gridCol w:w="254"/>
        <w:gridCol w:w="9864"/>
      </w:tblGrid>
      <w:tr>
        <w:trPr/>
        <w:tc>
          <w:tcPr>
            <w:tcW w:w="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left"/>
              <w:rPr/>
            </w:pPr>
            <w:r>
              <w:rPr/>
              <w:t xml:space="preserve">any mandatory or optional redemption </w:t>
            </w:r>
            <w:r>
              <w:rPr>
                <w:spacing w:val="-2"/>
              </w:rPr>
              <w:t>terms;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that obligation;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dates, if any, on which, and the price or prices at which, we will repurchase debt securities at the option of the holders of debt securities and other detailed terms and provisions of any such repurchase obligations;</w:t>
            </w:r>
          </w:p>
        </w:tc>
      </w:tr>
    </w:tbl>
    <w:tbl>
      <w:tblPr>
        <w:tblW w:w="5000" w:type="pct"/>
        <w:jc w:val="left"/>
        <w:tblInd w:w="0" w:type="dxa"/>
        <w:tblLayout w:type="fixed"/>
        <w:tblCellMar>
          <w:top w:w="0" w:type="dxa"/>
          <w:left w:w="0" w:type="dxa"/>
          <w:bottom w:w="0" w:type="dxa"/>
          <w:right w:w="0" w:type="dxa"/>
        </w:tblCellMar>
      </w:tblPr>
      <w:tblGrid>
        <w:gridCol w:w="65"/>
        <w:gridCol w:w="189"/>
        <w:gridCol w:w="9951"/>
      </w:tblGrid>
      <w:tr>
        <w:trPr/>
        <w:tc>
          <w:tcPr>
            <w:tcW w:w="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pPr>
            <w:r>
              <w:rPr/>
              <w:t xml:space="preserve">the denominations in which the debt securities will be </w:t>
            </w:r>
            <w:r>
              <w:rPr>
                <w:spacing w:val="-2"/>
              </w:rPr>
              <w:t>issued;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whether the debt securities will be issued in the form of certificated debt securities or global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other than the principal amount thereof, the portion of the principal amount of the debt securities of the series that shall be payable upon declaration of acceleration of the maturity thereof;</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the debt securities are denominated in other than United States dollars, the currency or currencies (including composite currencies) in which the debt securities are denominated;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of the currency, currencies, or currency units in which payment of the principal of, and any premium or interest on, the debt securities of the series will be made;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payments of principal of, or any premium or interest on, the debt securities will be made in one or more currencies or currency units other than that or those in which the debt securities are denominated, the manner in which the exchange rate with respect to those payments will be determined;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manner in which the amounts of payment of principal of, and any premium or interest on, the debt securities will be determined, including if these amounts may be determined by reference to an index based on a currency or currencies or by reference to a commodity, commodity index, stock exchange index, or financial index;</w:t>
            </w:r>
          </w:p>
        </w:tc>
      </w:tr>
    </w:tbl>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 xml:space="preserve">any provisions relating to any security provided for the debt </w:t>
            </w:r>
            <w:r>
              <w:rPr>
                <w:spacing w:val="-2"/>
              </w:rPr>
              <w:t>securities;</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addition to, deletion of, or change in the covenants described in this prospectus or in the indenture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depositaries, interest rate calculation agents, exchange rate calculation agents, or other agents appointed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that series of debt securities is redeemed; </w:t>
            </w:r>
            <w:r>
              <w:rPr>
                <w:spacing w:val="-4"/>
              </w:rPr>
              <w:t>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provide you with information on the federal income tax considerations and other special considerations applicable to any of these debt securities in the applicable prospectus supplement.</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denominate the purchase price of any of the debt securities in a foreign currency or currencies or a foreign currency unit or units, or if the principal of, or any premium or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the foreign currency or currencies or foreign currency unit or units in the applicable prospectus </w:t>
      </w:r>
      <w:r>
        <w:rPr>
          <w:rFonts w:ascii="Times New Roman;Times;Serif" w:hAnsi="Times New Roman;Times;Serif"/>
          <w:b w:val="false"/>
          <w:i w:val="false"/>
          <w:caps w:val="false"/>
          <w:smallCaps w:val="false"/>
          <w:spacing w:val="-2"/>
          <w:sz w:val="20"/>
        </w:rPr>
        <w:t>supplement.</w:t>
      </w:r>
    </w:p>
    <w:p>
      <w:pPr>
        <w:pStyle w:val="TextBody"/>
        <w:bidi w:val="0"/>
        <w:spacing w:before="117" w:after="117"/>
        <w:ind w:left="117" w:right="117"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Transfer and Exchange</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as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pStyle w:val="TextBody"/>
        <w:bidi w:val="0"/>
        <w:spacing w:lineRule="auto" w:line="264" w:before="74" w:after="74"/>
        <w:ind w:left="74" w:right="7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Global Debt Securities and Book-Entry System.</w:t>
      </w:r>
      <w:r>
        <w:rPr>
          <w:rFonts w:ascii="Times New Roman;Times;Serif" w:hAnsi="Times New Roman;Times;Serif"/>
          <w:b w:val="false"/>
          <w:i w:val="false"/>
          <w:caps w:val="false"/>
          <w:smallCaps w:val="false"/>
          <w:sz w:val="20"/>
        </w:rPr>
        <w:t xml:space="preserve"> Each global debt security will be deposited with, or on behalf of, the depositary, and registered in the name of the depositary or a nominee of the depositary. Beneficial interests in global debt securities will not be issuable in certificated form unless (i) the depositary has notified us that it is unwilling or unable to continue as depositary for that global debt security or has ceased to be qualified to act as such as required by the indenture and we fail to appoint a successor depositary within 90 days of such event, (ii) we determine, in our sole discretion, not to have those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115" w:after="115"/>
        <w:ind w:left="115" w:right="115" w:hanging="0"/>
        <w:jc w:val="left"/>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Consolidation, Merger and Sale of </w:t>
      </w:r>
      <w:r>
        <w:rPr>
          <w:rFonts w:ascii="Times New Roman;Times;Serif" w:hAnsi="Times New Roman;Times;Serif"/>
          <w:b/>
          <w:i w:val="false"/>
          <w:caps w:val="false"/>
          <w:smallCaps w:val="false"/>
          <w:spacing w:val="-2"/>
          <w:sz w:val="20"/>
        </w:rPr>
        <w:t>Assets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generally provides that we may not consolidate with or merge with or into, sell, convey, transfer, or dispose of all or substantially all of our assets to another entity, whether in one transaction or a series of related transactions, unless: (i) the resulting, surviving, or transferee entity (A) is a corporation, limited liability corporation, partnership, or trust organized under the laws of the United States, any state thereof, or the District of Columbia, and (B) expressly assumes by a supplemental indenture all of our obligations under the debt securities and the indenture, (ii) immediately after giving effect to such transaction no Event of Default (as defined herein) and no circumstances which, after notice or lapse of time or both, would become an Event of Default, shall have happened and be continuing, and (iii) we shall have delivered to the trustee an officers’ certificate and an opinion of counsel, each stating that such consolidation, merger, or transfer and such supplemental indenture comply with the indenture.</w:t>
      </w:r>
    </w:p>
    <w:p>
      <w:pPr>
        <w:pStyle w:val="TextBody"/>
        <w:bidi w:val="0"/>
        <w:spacing w:before="98" w:after="98"/>
        <w:ind w:left="98" w:right="98"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Events of Default</w:t>
      </w:r>
    </w:p>
    <w:p>
      <w:pPr>
        <w:pStyle w:val="TextBody"/>
        <w:bidi w:val="0"/>
        <w:spacing w:before="119" w:after="119"/>
        <w:ind w:left="119" w:right="119"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xml:space="preserve"> means with respect to any series of debt securities, any of the </w:t>
      </w:r>
      <w:r>
        <w:rPr>
          <w:rFonts w:ascii="Times New Roman;Times;Serif" w:hAnsi="Times New Roman;Times;Serif"/>
          <w:b w:val="false"/>
          <w:i w:val="false"/>
          <w:caps w:val="false"/>
          <w:smallCaps w:val="false"/>
          <w:spacing w:val="-2"/>
          <w:sz w:val="20"/>
        </w:rPr>
        <w:t>following: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tbl>
      <w:tblPr>
        <w:tblW w:w="5000" w:type="pct"/>
        <w:jc w:val="left"/>
        <w:tblInd w:w="0" w:type="dxa"/>
        <w:tblLayout w:type="fixed"/>
        <w:tblCellMar>
          <w:top w:w="0" w:type="dxa"/>
          <w:left w:w="0" w:type="dxa"/>
          <w:bottom w:w="0" w:type="dxa"/>
          <w:right w:w="0" w:type="dxa"/>
        </w:tblCellMar>
      </w:tblPr>
      <w:tblGrid>
        <w:gridCol w:w="38"/>
        <w:gridCol w:w="113"/>
        <w:gridCol w:w="10054"/>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4" w:type="dxa"/>
            <w:tcBorders/>
            <w:vAlign w:val="center"/>
          </w:tcPr>
          <w:p>
            <w:pPr>
              <w:pStyle w:val="TableContents"/>
              <w:bidi w:val="0"/>
              <w:spacing w:before="0" w:after="283"/>
              <w:jc w:val="left"/>
              <w:rPr/>
            </w:pPr>
            <w:r>
              <w:rPr/>
              <w:t xml:space="preserve">default in the payment of principal of, or any premium on, any debt security of that series at its </w:t>
            </w:r>
            <w:r>
              <w:rPr>
                <w:spacing w:val="-2"/>
              </w:rPr>
              <w:t>maturity;</w:t>
            </w:r>
          </w:p>
        </w:tc>
      </w:tr>
    </w:tbl>
    <w:p>
      <w:pPr>
        <w:pStyle w:val="TextBody"/>
        <w:bidi w:val="0"/>
        <w:spacing w:lineRule="auto" w:line="264" w:before="170" w:after="170"/>
        <w:ind w:left="720" w:right="170" w:hanging="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90 days after we receive written notice thereof;</w:t>
            </w:r>
          </w:p>
        </w:tc>
      </w:tr>
    </w:tbl>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283"/>
              <w:jc w:val="left"/>
              <w:rPr/>
            </w:pPr>
            <w:r>
              <w:rPr/>
              <w:t xml:space="preserve">the occurrence of specified events of bankruptcy, insolvency, or reorganization; </w:t>
            </w:r>
            <w:r>
              <w:rPr>
                <w:spacing w:val="-5"/>
              </w:rPr>
              <w:t>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other event of default provided with respect to a series of debt securities that is described in the applicable prospectus </w:t>
            </w:r>
            <w:r>
              <w:rPr>
                <w:spacing w:val="-2"/>
              </w:rPr>
              <w:t>supplement.</w:t>
            </w:r>
          </w:p>
        </w:tc>
      </w:tr>
    </w:tbl>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w:t>
      </w:r>
    </w:p>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those discount securities upon the occurrence of an event of default.</w:t>
      </w:r>
    </w:p>
    <w:p>
      <w:pPr>
        <w:pStyle w:val="TextBody"/>
        <w:bidi w:val="0"/>
        <w:spacing w:lineRule="auto" w:line="264" w:before="97" w:after="97"/>
        <w:ind w:left="97" w:right="9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that duty or exercising that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that holder has previously given to the trustee written notice of a continuing event of default with respect to debt securities of that </w:t>
            </w:r>
            <w:r>
              <w:rPr>
                <w:spacing w:val="-2"/>
              </w:rPr>
              <w:t>series;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holders of not less than 25% in principal amount of the outstanding debt securities of that series have made written request to the trustee to institute the proceedings in respect of that event of default in its own name as trustee under the indenture;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such holder or holders have offered to the trustee indemnity or security satisfactory to the trustee against the costs, expenses, and liabilities which might be incurred by the trustee in compliance with the request;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trustee has failed to institute any such proceeding for 60 days after its receipt of such notice, request, and offer of indemnity; </w:t>
            </w:r>
            <w:r>
              <w:rPr>
                <w:spacing w:val="-5"/>
              </w:rPr>
              <w:t>and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 direction inconsistent with the written request has been given to the trustee during that 60-day period by holders of a majority in principal amount of the outstanding debt securities of that series.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116" w:after="116"/>
        <w:ind w:left="116" w:right="116"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Modification and Waiver</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and amend or supplement the indenture or the debt securities of one or more series without the consent of any holder of any debt security:</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10039" w:type="dxa"/>
            <w:tcBorders/>
            <w:vAlign w:val="center"/>
          </w:tcPr>
          <w:p>
            <w:pPr>
              <w:pStyle w:val="TableContents"/>
              <w:bidi w:val="0"/>
              <w:spacing w:before="0" w:after="283"/>
              <w:jc w:val="left"/>
              <w:rPr/>
            </w:pPr>
            <w:r>
              <w:rPr/>
              <w:t>to add guarantees with respect to debt securities of a series or secure debt securities of a series;</w:t>
            </w:r>
          </w:p>
        </w:tc>
      </w:tr>
    </w:tbl>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t>to surrender any of our rights or powers under the indenture;</w:t>
            </w:r>
          </w:p>
        </w:tc>
      </w:tr>
    </w:tbl>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w:t>
            </w:r>
          </w:p>
        </w:tc>
        <w:tc>
          <w:tcPr>
            <w:tcW w:w="10044" w:type="dxa"/>
            <w:tcBorders/>
            <w:vAlign w:val="center"/>
          </w:tcPr>
          <w:p>
            <w:pPr>
              <w:pStyle w:val="TableContents"/>
              <w:bidi w:val="0"/>
              <w:spacing w:before="0" w:after="283"/>
              <w:jc w:val="left"/>
              <w:rPr/>
            </w:pPr>
            <w:r>
              <w:rPr/>
              <w:t>to add covenants or events of default for the benefit of the holders of any series of debt securities;</w:t>
            </w:r>
          </w:p>
        </w:tc>
      </w:tr>
    </w:tbl>
    <w:tbl>
      <w:tblPr>
        <w:tblW w:w="5000" w:type="pct"/>
        <w:jc w:val="left"/>
        <w:tblInd w:w="0" w:type="dxa"/>
        <w:tblLayout w:type="fixed"/>
        <w:tblCellMar>
          <w:top w:w="0" w:type="dxa"/>
          <w:left w:w="0" w:type="dxa"/>
          <w:bottom w:w="0" w:type="dxa"/>
          <w:right w:w="0" w:type="dxa"/>
        </w:tblCellMar>
      </w:tblPr>
      <w:tblGrid>
        <w:gridCol w:w="137"/>
        <w:gridCol w:w="397"/>
        <w:gridCol w:w="9671"/>
      </w:tblGrid>
      <w:tr>
        <w:trPr/>
        <w:tc>
          <w:tcPr>
            <w:tcW w:w="1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671" w:type="dxa"/>
            <w:tcBorders/>
            <w:vAlign w:val="center"/>
          </w:tcPr>
          <w:p>
            <w:pPr>
              <w:pStyle w:val="TableContents"/>
              <w:bidi w:val="0"/>
              <w:spacing w:before="0" w:after="283"/>
              <w:jc w:val="left"/>
              <w:rPr/>
            </w:pPr>
            <w:r>
              <w:rPr/>
              <w:t>to secure the debt securities</w:t>
            </w:r>
            <w:r>
              <w:rPr>
                <w:spacing w:val="-2"/>
              </w:rPr>
              <w:t>;</w:t>
            </w:r>
          </w:p>
        </w:tc>
      </w:tr>
    </w:tbl>
    <w:tbl>
      <w:tblPr>
        <w:tblW w:w="5000" w:type="pct"/>
        <w:jc w:val="left"/>
        <w:tblInd w:w="0" w:type="dxa"/>
        <w:tblLayout w:type="fixed"/>
        <w:tblCellMar>
          <w:top w:w="0" w:type="dxa"/>
          <w:left w:w="0" w:type="dxa"/>
          <w:bottom w:w="0" w:type="dxa"/>
          <w:right w:w="0" w:type="dxa"/>
        </w:tblCellMar>
      </w:tblPr>
      <w:tblGrid>
        <w:gridCol w:w="50"/>
        <w:gridCol w:w="148"/>
        <w:gridCol w:w="10007"/>
      </w:tblGrid>
      <w:tr>
        <w:trPr/>
        <w:tc>
          <w:tcPr>
            <w:tcW w:w="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w:t>
            </w:r>
          </w:p>
        </w:tc>
        <w:tc>
          <w:tcPr>
            <w:tcW w:w="10007" w:type="dxa"/>
            <w:tcBorders/>
            <w:vAlign w:val="center"/>
          </w:tcPr>
          <w:p>
            <w:pPr>
              <w:pStyle w:val="TableContents"/>
              <w:bidi w:val="0"/>
              <w:spacing w:before="0" w:after="283"/>
              <w:jc w:val="left"/>
              <w:rPr/>
            </w:pPr>
            <w:r>
              <w:rPr/>
              <w:t>to comply with the applicable rules or procedures of any applicable depositary;</w:t>
            </w:r>
          </w:p>
        </w:tc>
      </w:tr>
    </w:tbl>
    <w:tbl>
      <w:tblPr>
        <w:tblW w:w="5000" w:type="pct"/>
        <w:jc w:val="left"/>
        <w:tblInd w:w="0" w:type="dxa"/>
        <w:tblLayout w:type="fixed"/>
        <w:tblCellMar>
          <w:top w:w="0" w:type="dxa"/>
          <w:left w:w="0" w:type="dxa"/>
          <w:bottom w:w="0" w:type="dxa"/>
          <w:right w:w="0" w:type="dxa"/>
        </w:tblCellMar>
      </w:tblPr>
      <w:tblGrid>
        <w:gridCol w:w="83"/>
        <w:gridCol w:w="242"/>
        <w:gridCol w:w="9880"/>
      </w:tblGrid>
      <w:tr>
        <w:trPr/>
        <w:tc>
          <w:tcPr>
            <w:tcW w:w="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left"/>
              <w:rPr/>
            </w:pPr>
            <w:r>
              <w:rPr/>
              <w:t>to cure any ambiguity, defect, or inconsistency;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the provisions of the indenture concerning consolidations, mergers, and transfers of all or substantially all of our assets;</w:t>
            </w:r>
          </w:p>
        </w:tc>
      </w:tr>
    </w:tbl>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to provide for uncertificated securities in addition to or in place of certificated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make any change that does not materially adversely affect the rights of any holder of that series of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effect the appointment of a successor trustee with respect to the debt securities of any series and to add to or change any of the provisions of the indenture to provide for or facilitate administration by more than one trustee;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requirements of the SEC in order to effect or maintain the qualification of the indenture under the Trust Indenture 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the rules or regulations of any securities exchange or automated quotation system on which any of the debt securities may be listed or traded;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provide for the issuance of and establish the form and terms and conditions of debt securities of any series as permitted by the indenture; and</w:t>
            </w:r>
          </w:p>
        </w:tc>
      </w:tr>
    </w:tbl>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 xml:space="preserve">for certain other reasons set forth in any prospectus </w:t>
            </w:r>
            <w:r>
              <w:rPr>
                <w:spacing w:val="-2"/>
              </w:rPr>
              <w:t>supplement.</w:t>
            </w:r>
          </w:p>
        </w:tc>
      </w:tr>
    </w:tbl>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reduce the principal amount of debt securities of that series whose holders must consent to an amendment, supplement, or </w:t>
            </w:r>
            <w:r>
              <w:rPr>
                <w:spacing w:val="-2"/>
              </w:rPr>
              <w:t>waiver;</w:t>
            </w:r>
          </w:p>
        </w:tc>
      </w:tr>
    </w:tbl>
    <w:p>
      <w:pPr>
        <w:pStyle w:val="TextBody"/>
        <w:bidi w:val="0"/>
        <w:spacing w:before="11" w:after="11"/>
        <w:ind w:left="11" w:right="11"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rate of or extend the time for payment of interest (including default interest) on any debt security of that series;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principal of, or change the fixed maturity of, any debt security of that series or reduce the amount of, or postpone the date fixed for, the payment of any sinking fund or analogous obligation with respect to that series of debt securities;</w:t>
            </w:r>
          </w:p>
        </w:tc>
      </w:tr>
    </w:tbl>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left"/>
              <w:rPr/>
            </w:pPr>
            <w:r>
              <w:rPr/>
              <w:t>reduce the principal amount of discount securities of that series payable upon acceleration of maturity;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waive a default in the payment of the principal of, or interest, if any, on any debt security of that series (except a rescission of acceleration of the debt securities of any series by the holders of at least a majority in principal amount of the then outstanding debt securities of that series and a waiver of the payment default that resulted from such acceleration);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make the principal of, or any interest on, any debt security of that series payable in currency other than that stated in the debt security;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make any change to certain provisions of the indenture relating to, among other things, (i) the right of holders of debt securities to receive payment of the principal of, and any interest on, those debt securities and to institute suit for the enforcement of any such payment, and (ii) waivers or amendments;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waive a redemption payment with respect to any debt security of that series, provided that such redemption is made at our </w:t>
            </w:r>
            <w:r>
              <w:rPr>
                <w:spacing w:val="-2"/>
              </w:rPr>
              <w:t>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that series. The holders of a majority in principal amount of the outstanding debt securities of any series may, on behalf of the holders of all the debt securities of that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74" w:after="74"/>
        <w:ind w:left="74" w:right="7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Satisfaction and Discharge of </w:t>
      </w:r>
      <w:r>
        <w:rPr>
          <w:rFonts w:ascii="Times New Roman;Times;Serif" w:hAnsi="Times New Roman;Times;Serif"/>
          <w:b/>
          <w:i w:val="false"/>
          <w:caps w:val="false"/>
          <w:smallCaps w:val="false"/>
          <w:spacing w:val="-2"/>
          <w:sz w:val="20"/>
        </w:rPr>
        <w:t>Indenture</w:t>
      </w:r>
    </w:p>
    <w:p>
      <w:pPr>
        <w:pStyle w:val="TextBody"/>
        <w:bidi w:val="0"/>
        <w:spacing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shall cease to be of further effect with respect to a series of debt securities when </w:t>
      </w:r>
      <w:r>
        <w:rPr>
          <w:rFonts w:ascii="Times New Roman;Times;Serif" w:hAnsi="Times New Roman;Times;Serif"/>
          <w:b w:val="false"/>
          <w:i w:val="false"/>
          <w:caps w:val="false"/>
          <w:smallCaps w:val="false"/>
          <w:spacing w:val="-2"/>
          <w:sz w:val="20"/>
        </w:rPr>
        <w:t>either:</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have delivered to the trustee for cancellation all outstanding debt securities of that series, other than any debt securities that have been destroyed, lost or stolen and that have been replaced or paid as provided in the indenture;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all outstanding debt securities of that series that have not been delivered to the trustee for cancellation have become due and payable or are by their terms to become due and payable within one year or are to be called for redemption within one year under arrangements satisfactory to the trustee for the giving of notice of redemption, and we have irrevocably deposited with the trustee as trust funds the entire amount, in cash in U.S. dollars or U.S. governmental obligations, sufficient to pay at maturity or upon redemption all debt securities of that series, including principal of and any premium and interest due or to become due to such date of maturity or date fixed for redemption, as the case may be;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we have properly fulfilled any other means of satisfaction and discharge that may be set forth in the terms of the debt securities of that </w:t>
            </w:r>
            <w:r>
              <w:rPr>
                <w:spacing w:val="-2"/>
              </w:rPr>
              <w:t>series.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we will also pay all other sums payable by us under the indenture with respect to the debt securities of that series and deliver to the trustee an opinion of counsel and an officers’ certificate, each stating that all conditions precedent to satisfaction and discharge with respect to the debt securities of that series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Defeasance</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xml:space="preserve"> The indenture provides that, unless otherwise provided by the terms of the applicable series of debt securities, upon compliance with certain conditions: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may be released from our obligations with respect to certain covenants set forth in the indenture, as well as any additional covenants which may be set forth in the applicable prospectus supplement and supplemental indenture;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omission to comply with those covenants will not constitute a default or an event of default with respect to the debt securities of that series (“covenant defeasance”).</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conditions </w:t>
      </w:r>
      <w:r>
        <w:rPr>
          <w:rFonts w:ascii="Times New Roman;Times;Serif" w:hAnsi="Times New Roman;Times;Serif"/>
          <w:b w:val="false"/>
          <w:i w:val="false"/>
          <w:caps w:val="false"/>
          <w:smallCaps w:val="false"/>
          <w:spacing w:val="-2"/>
          <w:sz w:val="20"/>
        </w:rPr>
        <w:t>include:</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delivering to the trustee an opinion of counsel and an officer’s certificate, each stating that all conditions precedent to defeasance with respect to the debt securities of that series have been complied with.</w:t>
            </w:r>
          </w:p>
        </w:tc>
      </w:tr>
    </w:tbl>
    <w:p>
      <w:pPr>
        <w:pStyle w:val="TextBody"/>
        <w:bidi w:val="0"/>
        <w:spacing w:before="118" w:after="118"/>
        <w:ind w:left="118" w:right="118"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5"/>
          <w:sz w:val="20"/>
        </w:rPr>
      </w:pPr>
      <w:r>
        <w:rPr>
          <w:rFonts w:ascii="Times New Roman;Times;Serif" w:hAnsi="Times New Roman;Times;Serif"/>
          <w:b/>
          <w:i w:val="false"/>
          <w:caps w:val="false"/>
          <w:smallCaps w:val="false"/>
          <w:spacing w:val="-5"/>
          <w:sz w:val="20"/>
        </w:rPr>
        <w:t>Governing Law</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any debt securities issued thereunder will be governed by and construed in accordance with the laws of the State of New York (without regard to the conflicts of law provisions other than Section 5-1401 of the New York General Obligations Law).</w:t>
      </w:r>
    </w:p>
    <w:p>
      <w:pPr>
        <w:pStyle w:val="TextBody"/>
        <w:bidi w:val="0"/>
        <w:spacing w:before="118" w:after="118"/>
        <w:ind w:left="118" w:right="118"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Subordination of Subordinated Debt Securities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to certain of our other indebtedness to the extent described in a prospectus supplement.</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12" w:name="warrant"/>
      <w:bookmarkEnd w:id="12"/>
      <w:r>
        <w:rPr>
          <w:rFonts w:ascii="Times New Roman;Times;Serif" w:hAnsi="Times New Roman;Times;Serif"/>
          <w:b/>
          <w:i w:val="false"/>
          <w:caps w:val="false"/>
          <w:smallCaps w:val="false"/>
          <w:spacing w:val="-4"/>
          <w:sz w:val="20"/>
        </w:rPr>
        <w:t>DESCRIPTION OF WARRANTS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shares of our preferred stock, or debt securities. We may issue warrants independently of or together with shares of our common stock, shares of our preferred stock, debt securities, or other securities offered by any prospectus supplement. Warrants sold with other securities may be attached to or separate from shares of our common stock, shares of our preferred stock, debt securities, or other securities. We may issue warrants under one or more warrant agreements between us and a bank or trust company, as warrant agent, that we will name in the prospectus supplement relating to the particular issue of offered warrants. If we appoint a warrant agent, such warrant agent will act solely as our agent in connection with the warrants and will not assume any obligation or relationship of agency or trust for or with any holders or beneficial owners of warrants.</w:t>
      </w:r>
    </w:p>
    <w:p>
      <w:pPr>
        <w:pStyle w:val="TextBody"/>
        <w:bidi w:val="0"/>
        <w:spacing w:before="15" w:after="15"/>
        <w:ind w:left="15" w:right="1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warrants we offer will include specific terms relating to the offering. These terms may include some or all of the following:</w:t>
      </w:r>
    </w:p>
    <w:p>
      <w:pPr>
        <w:pStyle w:val="TextBody"/>
        <w:bidi w:val="0"/>
        <w:spacing w:lineRule="auto" w:line="264"/>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67"/>
        <w:gridCol w:w="9577"/>
      </w:tblGrid>
      <w:tr>
        <w:trPr/>
        <w:tc>
          <w:tcPr>
            <w:tcW w:w="1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left"/>
              <w:rPr/>
            </w:pPr>
            <w:r>
              <w:rPr/>
              <w:t>the title of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41"/>
        <w:gridCol w:w="9882"/>
      </w:tblGrid>
      <w:tr>
        <w:trPr/>
        <w:tc>
          <w:tcPr>
            <w:tcW w:w="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left"/>
              <w:rPr/>
            </w:pPr>
            <w:r>
              <w:rPr/>
              <w:t>the aggregate number of warrants to be offered;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09"/>
        <w:gridCol w:w="9924"/>
      </w:tblGrid>
      <w:tr>
        <w:trPr/>
        <w:tc>
          <w:tcPr>
            <w:tcW w:w="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the price or prices at which the warrants will be issued;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currency or currencies, including composite currencies, in which the price of the warrants may be payable;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and terms of the securities purchasable upon exercise of the warrants and the number of securities issuable upon exercise of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price at which and the currency or currencies, including composite currencies, in which the securities purchasable upon exercise of the warrants may be purchased;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date on which the right to exercise the warrants shall commence and the date on which that right will expire;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left"/>
              <w:rPr/>
            </w:pPr>
            <w:r>
              <w:rPr/>
              <w:t>if applicable, the minimum or maximum amount of the warrants that may be exercised at any one time;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designation and terms of the securities with which the warrants are issued and the number of warrants issued with each such security;</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terms related to any permitted adjustment in the exercise price of or number of securities covered by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date on and after which the warrants and the related securities will be separately transferable;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5"/>
        <w:gridCol w:w="10011"/>
      </w:tblGrid>
      <w:tr>
        <w:trPr/>
        <w:tc>
          <w:tcPr>
            <w:tcW w:w="4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1" w:type="dxa"/>
            <w:tcBorders/>
            <w:vAlign w:val="center"/>
          </w:tcPr>
          <w:p>
            <w:pPr>
              <w:pStyle w:val="TableContents"/>
              <w:bidi w:val="0"/>
              <w:spacing w:before="0" w:after="283"/>
              <w:jc w:val="left"/>
              <w:rPr/>
            </w:pPr>
            <w:r>
              <w:rPr/>
              <w:t>if applicable, a discussion of any material federal income tax considerations; and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the warrants, including terms, procedures, and limitations relating to the exchange and exercise of warrants.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of </w:t>
      </w:r>
      <w:r>
        <w:rPr>
          <w:rFonts w:ascii="Times New Roman;Times;Serif" w:hAnsi="Times New Roman;Times;Serif"/>
          <w:b/>
          <w:i w:val="false"/>
          <w:caps w:val="false"/>
          <w:smallCaps w:val="false"/>
          <w:spacing w:val="-2"/>
          <w:sz w:val="20"/>
        </w:rPr>
        <w:t>Warrants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specified time on the expiration date, unexercised warrants will become void.</w:t>
      </w:r>
    </w:p>
    <w:p>
      <w:pPr>
        <w:pStyle w:val="TextBody"/>
        <w:bidi w:val="0"/>
        <w:spacing w:lineRule="auto" w:line="264" w:before="99" w:after="99"/>
        <w:ind w:left="99" w:right="9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described in the applicable prospectus supplement. Upon receipt of the required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warrants we offer will not necessarily be complete and will be qualified in its entirety by reference to the applicable form of warrant agreement, including a form of warrant certificate, which will describe the terms of the series of warrants being offered and which will be filed with the SEC and incorporated by reference in the registration statement of which this prospectus is a part.</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6"/>
          <w:sz w:val="20"/>
        </w:rPr>
      </w:pPr>
      <w:bookmarkStart w:id="13" w:name="rights"/>
      <w:bookmarkEnd w:id="13"/>
      <w:r>
        <w:rPr>
          <w:rFonts w:ascii="Times New Roman;Times;Serif" w:hAnsi="Times New Roman;Times;Serif"/>
          <w:b/>
          <w:i w:val="false"/>
          <w:caps w:val="false"/>
          <w:smallCaps w:val="false"/>
          <w:spacing w:val="-6"/>
          <w:sz w:val="20"/>
        </w:rPr>
        <w:t>DESCRIPTION OF RIGHTS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for the purchase of shares of our common stock, shares of our preferred stock, or debt securities. Each series of rights will be issued under a separate rights agreement to be entered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we offer will describe the specific terms of those rights. These terms may include some or all of the following:</w:t>
      </w:r>
    </w:p>
    <w:tbl>
      <w:tblPr>
        <w:tblW w:w="5000" w:type="pct"/>
        <w:jc w:val="left"/>
        <w:tblInd w:w="0" w:type="dxa"/>
        <w:tblLayout w:type="fixed"/>
        <w:tblCellMar>
          <w:top w:w="0" w:type="dxa"/>
          <w:left w:w="0" w:type="dxa"/>
          <w:bottom w:w="0" w:type="dxa"/>
          <w:right w:w="0" w:type="dxa"/>
        </w:tblCellMar>
      </w:tblPr>
      <w:tblGrid>
        <w:gridCol w:w="48"/>
        <w:gridCol w:w="142"/>
        <w:gridCol w:w="10015"/>
      </w:tblGrid>
      <w:tr>
        <w:trPr/>
        <w:tc>
          <w:tcPr>
            <w:tcW w:w="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5" w:type="dxa"/>
            <w:tcBorders/>
            <w:vAlign w:val="center"/>
          </w:tcPr>
          <w:p>
            <w:pPr>
              <w:pStyle w:val="TableContents"/>
              <w:bidi w:val="0"/>
              <w:spacing w:before="0" w:after="283"/>
              <w:jc w:val="left"/>
              <w:rPr/>
            </w:pPr>
            <w:r>
              <w:rPr/>
              <w:t xml:space="preserve">the date for determining the persons entitled to participate in the rights </w:t>
            </w:r>
            <w:r>
              <w:rPr>
                <w:spacing w:val="-2"/>
              </w:rPr>
              <w:t>distribution;</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title and aggregate number or amount of underlying securities purchasable upon exercise of the rights and the exercise </w:t>
            </w:r>
            <w:r>
              <w:rPr>
                <w:spacing w:val="-2"/>
              </w:rPr>
              <w:t>price;</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58"/>
        <w:gridCol w:w="9858"/>
      </w:tblGrid>
      <w:tr>
        <w:trPr/>
        <w:tc>
          <w:tcPr>
            <w:tcW w:w="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left"/>
              <w:rPr/>
            </w:pPr>
            <w:r>
              <w:rPr/>
              <w:t xml:space="preserve">the aggregate number of rights being </w:t>
            </w:r>
            <w:r>
              <w:rPr>
                <w:spacing w:val="-2"/>
              </w:rPr>
              <w:t>issued;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3"/>
        <w:gridCol w:w="10000"/>
      </w:tblGrid>
      <w:tr>
        <w:trPr/>
        <w:tc>
          <w:tcPr>
            <w:tcW w:w="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w:t>
            </w:r>
          </w:p>
        </w:tc>
        <w:tc>
          <w:tcPr>
            <w:tcW w:w="10000" w:type="dxa"/>
            <w:tcBorders/>
            <w:vAlign w:val="center"/>
          </w:tcPr>
          <w:p>
            <w:pPr>
              <w:pStyle w:val="TableContents"/>
              <w:bidi w:val="0"/>
              <w:spacing w:before="0" w:after="283"/>
              <w:jc w:val="left"/>
              <w:rPr/>
            </w:pPr>
            <w:r>
              <w:rPr/>
              <w:t xml:space="preserve">the date, if any, on and after which the rights may be transferable </w:t>
            </w:r>
            <w:r>
              <w:rPr>
                <w:spacing w:val="-2"/>
              </w:rPr>
              <w:t>separately;</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date on which the right to exercise the rights will commence and the date on which the right will </w:t>
            </w:r>
            <w:r>
              <w:rPr>
                <w:spacing w:val="-2"/>
              </w:rPr>
              <w:t>expire;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4"/>
        <w:gridCol w:w="9824"/>
      </w:tblGrid>
      <w:tr>
        <w:trPr/>
        <w:tc>
          <w:tcPr>
            <w:tcW w:w="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left"/>
              <w:rPr/>
            </w:pPr>
            <w:r>
              <w:rPr/>
              <w:t xml:space="preserve">the number of rights outstanding, if </w:t>
            </w:r>
            <w:r>
              <w:rPr>
                <w:spacing w:val="-4"/>
              </w:rPr>
              <w:t>any;</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5"/>
        <w:gridCol w:w="10010"/>
      </w:tblGrid>
      <w:tr>
        <w:trPr/>
        <w:tc>
          <w:tcPr>
            <w:tcW w:w="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pPr>
            <w:r>
              <w:rPr/>
              <w:t xml:space="preserve">if applicable, a discussion of any material federal income tax considerations; </w:t>
            </w:r>
            <w:r>
              <w:rPr>
                <w:spacing w:val="-5"/>
              </w:rPr>
              <w:t>and</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other terms of the rights, including the terms, procedures and limitations relating to the distribution, exchange and exercise of the </w:t>
            </w:r>
            <w:r>
              <w:rPr>
                <w:spacing w:val="-2"/>
              </w:rPr>
              <w:t>rights.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rights we offer will not necessarily be complete and will be qualified in its entirety by reference to the applicable form of rights agreement, which will describe the terms of the series of rights being offered and which will be filed with the SEC and incorporated by reference in the registration statement of which this prospectus is a part.</w:t>
      </w:r>
    </w:p>
    <w:p>
      <w:pPr>
        <w:pStyle w:val="TextBody"/>
        <w:bidi w:val="0"/>
        <w:jc w:val="left"/>
        <w:rPr>
          <w:caps w:val="false"/>
          <w:smallCaps w:val="false"/>
        </w:rPr>
      </w:pPr>
      <w:r>
        <w:rPr>
          <w:caps w:val="false"/>
          <w:smallCaps w:val="false"/>
        </w:rPr>
        <w:t> </w:t>
      </w:r>
    </w:p>
    <w:p>
      <w:pPr>
        <w:pStyle w:val="TextBody"/>
        <w:bidi w:val="0"/>
        <w:spacing w:before="142" w:after="142"/>
        <w:ind w:left="142" w:right="142"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14" w:name="units"/>
      <w:bookmarkEnd w:id="14"/>
      <w:r>
        <w:rPr>
          <w:rFonts w:ascii="Times New Roman;Times;Serif" w:hAnsi="Times New Roman;Times;Serif"/>
          <w:b/>
          <w:i w:val="false"/>
          <w:caps w:val="false"/>
          <w:smallCaps w:val="false"/>
          <w:spacing w:val="-4"/>
          <w:sz w:val="20"/>
        </w:rPr>
        <w:t>DESCRIPTION OF UNITS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issuance of units we offer will describe the terms of those units. These terms may include some or all of the following: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and terms of the units and the securities comprising the units, including whether and under what circumstances those securities may be held or transferred separately;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provision for the issuance, payment, settlement, transfer, or exchange of the units or of the securities comprising the units; </w:t>
            </w:r>
            <w:r>
              <w:rPr>
                <w:spacing w:val="-5"/>
              </w:rPr>
              <w:t>and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7"/>
        <w:gridCol w:w="9967"/>
      </w:tblGrid>
      <w:tr>
        <w:trPr/>
        <w:tc>
          <w:tcPr>
            <w:tcW w:w="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left"/>
              <w:rPr/>
            </w:pPr>
            <w:r>
              <w:rPr/>
              <w:t xml:space="preserve">whether the units will be issued in fully registered or global </w:t>
            </w:r>
            <w:r>
              <w:rPr>
                <w:spacing w:val="-2"/>
              </w:rPr>
              <w: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units we offer will not necessarily be complete. Such description will be qualified in its entirety by reference to the applicable form of unit agreement, including a form of unit certificate, which will describe the terms of the series of units being offered and which will be filed with the SEC and incorporated by reference in the registration statement of which this prospectus is a part.</w:t>
      </w:r>
    </w:p>
    <w:p>
      <w:pPr>
        <w:pStyle w:val="TextBody"/>
        <w:bidi w:val="0"/>
        <w:jc w:val="left"/>
        <w:rPr>
          <w:caps w:val="false"/>
          <w:smallCaps w:val="false"/>
        </w:rPr>
      </w:pPr>
      <w:r>
        <w:rPr>
          <w:caps w:val="false"/>
          <w:smallCaps w:val="false"/>
        </w:rPr>
        <w:t> </w:t>
      </w:r>
    </w:p>
    <w:p>
      <w:pPr>
        <w:pStyle w:val="TextBody"/>
        <w:bidi w:val="0"/>
        <w:spacing w:before="131" w:after="131"/>
        <w:ind w:left="131" w:right="131"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15" w:name="plan"/>
      <w:bookmarkEnd w:id="15"/>
      <w:r>
        <w:rPr>
          <w:rFonts w:ascii="Times New Roman;Times;Serif" w:hAnsi="Times New Roman;Times;Serif"/>
          <w:b/>
          <w:i w:val="false"/>
          <w:caps w:val="false"/>
          <w:smallCaps w:val="false"/>
          <w:spacing w:val="-4"/>
          <w:sz w:val="20"/>
        </w:rPr>
        <w:t>PLAN OF DISTRIBUTION</w:t>
      </w:r>
    </w:p>
    <w:p>
      <w:pPr>
        <w:pStyle w:val="TextBody"/>
        <w:bidi w:val="0"/>
        <w:spacing w:lineRule="auto" w:line="264" w:before="182" w:after="182"/>
        <w:ind w:left="182" w:right="18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through underwriters or dealers, through agents, directly to one or more purchasers, through a rights offering, or otherwise. We will describe the terms of the offering of the securities in a prospectus supplement, information incorporated by reference, or related free writing prospectus, including:</w:t>
      </w:r>
    </w:p>
    <w:p>
      <w:pPr>
        <w:pStyle w:val="TextBody"/>
        <w:bidi w:val="0"/>
        <w:spacing w:before="68" w:after="68"/>
        <w:ind w:left="68" w:right="68"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12"/>
        <w:gridCol w:w="9908"/>
      </w:tblGrid>
      <w:tr>
        <w:trPr/>
        <w:tc>
          <w:tcPr>
            <w:tcW w:w="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8" w:type="dxa"/>
            <w:tcBorders/>
            <w:vAlign w:val="center"/>
          </w:tcPr>
          <w:p>
            <w:pPr>
              <w:pStyle w:val="TableContents"/>
              <w:bidi w:val="0"/>
              <w:spacing w:before="0" w:after="283"/>
              <w:jc w:val="left"/>
              <w:rPr/>
            </w:pPr>
            <w:r>
              <w:rPr/>
              <w:t xml:space="preserve">the name or names of any underwriters, if </w:t>
            </w:r>
            <w:r>
              <w:rPr>
                <w:spacing w:val="-4"/>
              </w:rPr>
              <w:t>any;</w:t>
            </w:r>
          </w:p>
        </w:tc>
      </w:tr>
    </w:tbl>
    <w:tbl>
      <w:tblPr>
        <w:tblW w:w="5000" w:type="pct"/>
        <w:jc w:val="left"/>
        <w:tblInd w:w="0" w:type="dxa"/>
        <w:tblLayout w:type="fixed"/>
        <w:tblCellMar>
          <w:top w:w="0" w:type="dxa"/>
          <w:left w:w="0" w:type="dxa"/>
          <w:bottom w:w="0" w:type="dxa"/>
          <w:right w:w="0" w:type="dxa"/>
        </w:tblCellMar>
      </w:tblPr>
      <w:tblGrid>
        <w:gridCol w:w="49"/>
        <w:gridCol w:w="122"/>
        <w:gridCol w:w="10034"/>
      </w:tblGrid>
      <w:tr>
        <w:trPr/>
        <w:tc>
          <w:tcPr>
            <w:tcW w:w="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4" w:type="dxa"/>
            <w:tcBorders/>
            <w:vAlign w:val="center"/>
          </w:tcPr>
          <w:p>
            <w:pPr>
              <w:pStyle w:val="TableContents"/>
              <w:bidi w:val="0"/>
              <w:spacing w:before="0" w:after="283"/>
              <w:jc w:val="left"/>
              <w:rPr/>
            </w:pPr>
            <w:r>
              <w:rPr/>
              <w:t xml:space="preserve">the purchase price of the securities and the proceeds we will receive from the </w:t>
            </w:r>
            <w:r>
              <w:rPr>
                <w:spacing w:val="-2"/>
              </w:rPr>
              <w:t>sale;</w:t>
            </w:r>
          </w:p>
        </w:tc>
      </w:tr>
    </w:tbl>
    <w:tbl>
      <w:tblPr>
        <w:tblW w:w="5000" w:type="pct"/>
        <w:jc w:val="left"/>
        <w:tblInd w:w="0" w:type="dxa"/>
        <w:tblLayout w:type="fixed"/>
        <w:tblCellMar>
          <w:top w:w="0" w:type="dxa"/>
          <w:left w:w="0" w:type="dxa"/>
          <w:bottom w:w="0" w:type="dxa"/>
          <w:right w:w="0" w:type="dxa"/>
        </w:tblCellMar>
      </w:tblPr>
      <w:tblGrid>
        <w:gridCol w:w="47"/>
        <w:gridCol w:w="120"/>
        <w:gridCol w:w="10038"/>
      </w:tblGrid>
      <w:tr>
        <w:trPr/>
        <w:tc>
          <w:tcPr>
            <w:tcW w:w="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8" w:type="dxa"/>
            <w:tcBorders/>
            <w:vAlign w:val="center"/>
          </w:tcPr>
          <w:p>
            <w:pPr>
              <w:pStyle w:val="TableContents"/>
              <w:bidi w:val="0"/>
              <w:spacing w:before="0" w:after="283"/>
              <w:jc w:val="left"/>
              <w:rPr/>
            </w:pPr>
            <w:r>
              <w:rPr/>
              <w:t xml:space="preserve">any underwriting discounts and other items constituting underwriters’ </w:t>
            </w:r>
            <w:r>
              <w:rPr>
                <w:spacing w:val="-2"/>
              </w:rPr>
              <w:t>compensation;</w:t>
            </w:r>
          </w:p>
        </w:tc>
      </w:tr>
    </w:tbl>
    <w:tbl>
      <w:tblPr>
        <w:tblW w:w="5000" w:type="pct"/>
        <w:jc w:val="left"/>
        <w:tblInd w:w="0" w:type="dxa"/>
        <w:tblLayout w:type="fixed"/>
        <w:tblCellMar>
          <w:top w:w="0" w:type="dxa"/>
          <w:left w:w="0" w:type="dxa"/>
          <w:bottom w:w="0" w:type="dxa"/>
          <w:right w:w="0" w:type="dxa"/>
        </w:tblCellMar>
      </w:tblPr>
      <w:tblGrid>
        <w:gridCol w:w="123"/>
        <w:gridCol w:w="310"/>
        <w:gridCol w:w="9772"/>
      </w:tblGrid>
      <w:tr>
        <w:trPr/>
        <w:tc>
          <w:tcPr>
            <w:tcW w:w="1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72" w:type="dxa"/>
            <w:tcBorders/>
            <w:vAlign w:val="center"/>
          </w:tcPr>
          <w:p>
            <w:pPr>
              <w:pStyle w:val="TableContents"/>
              <w:bidi w:val="0"/>
              <w:spacing w:before="0" w:after="283"/>
              <w:jc w:val="left"/>
              <w:rPr/>
            </w:pPr>
            <w:r>
              <w:rPr/>
              <w:t xml:space="preserve">any initial public offering </w:t>
            </w:r>
            <w:r>
              <w:rPr>
                <w:spacing w:val="-2"/>
              </w:rPr>
              <w:t>price;</w:t>
            </w:r>
          </w:p>
        </w:tc>
      </w:tr>
    </w:tbl>
    <w:tbl>
      <w:tblPr>
        <w:tblW w:w="5000" w:type="pct"/>
        <w:jc w:val="left"/>
        <w:tblInd w:w="0" w:type="dxa"/>
        <w:tblLayout w:type="fixed"/>
        <w:tblCellMar>
          <w:top w:w="0" w:type="dxa"/>
          <w:left w:w="0" w:type="dxa"/>
          <w:bottom w:w="0" w:type="dxa"/>
          <w:right w:w="0" w:type="dxa"/>
        </w:tblCellMar>
      </w:tblPr>
      <w:tblGrid>
        <w:gridCol w:w="54"/>
        <w:gridCol w:w="137"/>
        <w:gridCol w:w="10014"/>
      </w:tblGrid>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4" w:type="dxa"/>
            <w:tcBorders/>
            <w:vAlign w:val="center"/>
          </w:tcPr>
          <w:p>
            <w:pPr>
              <w:pStyle w:val="TableContents"/>
              <w:bidi w:val="0"/>
              <w:spacing w:before="0" w:after="283"/>
              <w:jc w:val="left"/>
              <w:rPr/>
            </w:pPr>
            <w:r>
              <w:rPr/>
              <w:t xml:space="preserve">any discounts or concessions allowed or reallowed or paid to dealers; </w:t>
            </w:r>
            <w:r>
              <w:rPr>
                <w:spacing w:val="-5"/>
              </w:rPr>
              <w:t>and</w:t>
            </w:r>
          </w:p>
        </w:tc>
      </w:tr>
    </w:tbl>
    <w:tbl>
      <w:tblPr>
        <w:tblW w:w="5000" w:type="pct"/>
        <w:jc w:val="left"/>
        <w:tblInd w:w="0" w:type="dxa"/>
        <w:tblLayout w:type="fixed"/>
        <w:tblCellMar>
          <w:top w:w="0" w:type="dxa"/>
          <w:left w:w="0" w:type="dxa"/>
          <w:bottom w:w="0" w:type="dxa"/>
          <w:right w:w="0" w:type="dxa"/>
        </w:tblCellMar>
      </w:tblPr>
      <w:tblGrid>
        <w:gridCol w:w="55"/>
        <w:gridCol w:w="140"/>
        <w:gridCol w:w="10010"/>
      </w:tblGrid>
      <w:tr>
        <w:trPr/>
        <w:tc>
          <w:tcPr>
            <w:tcW w:w="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0" w:type="dxa"/>
            <w:tcBorders/>
            <w:vAlign w:val="center"/>
          </w:tcPr>
          <w:p>
            <w:pPr>
              <w:pStyle w:val="TableContents"/>
              <w:bidi w:val="0"/>
              <w:spacing w:before="0" w:after="283"/>
              <w:jc w:val="left"/>
              <w:rPr/>
            </w:pPr>
            <w:r>
              <w:rPr/>
              <w:t xml:space="preserve">any securities exchange or market on which the securities may be </w:t>
            </w:r>
            <w:r>
              <w:rPr>
                <w:spacing w:val="-2"/>
              </w:rPr>
              <w:t>listed.</w:t>
            </w:r>
          </w:p>
        </w:tc>
      </w:tr>
    </w:tbl>
    <w:p>
      <w:pPr>
        <w:pStyle w:val="TextBody"/>
        <w:bidi w:val="0"/>
        <w:spacing w:before="23" w:after="23"/>
        <w:ind w:left="23" w:right="23"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we name in the prospectus supplement, information incorporated by reference, or related free writing prospectus are underwriters of the securities offered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distribution of securities may be effected, from time to time, in one or more transactions, </w:t>
      </w:r>
      <w:r>
        <w:rPr>
          <w:rFonts w:ascii="Times New Roman;Times;Serif" w:hAnsi="Times New Roman;Times;Serif"/>
          <w:b w:val="false"/>
          <w:i w:val="false"/>
          <w:caps w:val="false"/>
          <w:smallCaps w:val="false"/>
          <w:spacing w:val="-2"/>
          <w:sz w:val="20"/>
        </w:rPr>
        <w:t>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 xml:space="preserve">purchases by a broker-dealer as principal and resale by such broker-dealer for its own account pursuant to this </w:t>
            </w:r>
            <w:r>
              <w:rPr>
                <w:spacing w:val="-2"/>
              </w:rPr>
              <w:t>prospectus;</w:t>
            </w:r>
          </w:p>
        </w:tc>
      </w:tr>
    </w:tbl>
    <w:tbl>
      <w:tblPr>
        <w:tblW w:w="5000" w:type="pct"/>
        <w:jc w:val="left"/>
        <w:tblInd w:w="0" w:type="dxa"/>
        <w:tblLayout w:type="fixed"/>
        <w:tblCellMar>
          <w:top w:w="0" w:type="dxa"/>
          <w:left w:w="0" w:type="dxa"/>
          <w:bottom w:w="0" w:type="dxa"/>
          <w:right w:w="0" w:type="dxa"/>
        </w:tblCellMar>
      </w:tblPr>
      <w:tblGrid>
        <w:gridCol w:w="45"/>
        <w:gridCol w:w="115"/>
        <w:gridCol w:w="10045"/>
      </w:tblGrid>
      <w:tr>
        <w:trPr/>
        <w:tc>
          <w:tcPr>
            <w:tcW w:w="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left"/>
              <w:rPr/>
            </w:pPr>
            <w:r>
              <w:rPr/>
              <w:t xml:space="preserve">ordinary brokerage transactions and transactions in which the broker solicits </w:t>
            </w:r>
            <w:r>
              <w:rPr>
                <w:spacing w:val="-2"/>
              </w:rPr>
              <w:t>purchasers;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block trades in which the broker-dealer so engaged will attempt to sell the shares as agent but may position and resell a portion of the block as principal to facilitate the transaction;</w:t>
            </w:r>
          </w:p>
        </w:tc>
      </w:tr>
    </w:tbl>
    <w:tbl>
      <w:tblPr>
        <w:tblW w:w="5000" w:type="pct"/>
        <w:jc w:val="left"/>
        <w:tblInd w:w="0" w:type="dxa"/>
        <w:tblLayout w:type="fixed"/>
        <w:tblCellMar>
          <w:top w:w="0" w:type="dxa"/>
          <w:left w:w="0" w:type="dxa"/>
          <w:bottom w:w="0" w:type="dxa"/>
          <w:right w:w="0" w:type="dxa"/>
        </w:tblCellMar>
      </w:tblPr>
      <w:tblGrid>
        <w:gridCol w:w="53"/>
        <w:gridCol w:w="133"/>
        <w:gridCol w:w="10019"/>
      </w:tblGrid>
      <w:tr>
        <w:trPr/>
        <w:tc>
          <w:tcPr>
            <w:tcW w:w="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9" w:type="dxa"/>
            <w:tcBorders/>
            <w:vAlign w:val="center"/>
          </w:tcPr>
          <w:p>
            <w:pPr>
              <w:pStyle w:val="TableContents"/>
              <w:bidi w:val="0"/>
              <w:spacing w:before="0" w:after="283"/>
              <w:jc w:val="left"/>
              <w:rPr/>
            </w:pPr>
            <w:r>
              <w:rPr/>
              <w:t xml:space="preserve">an over-the-counter distribution in accordance with the rules of the </w:t>
            </w:r>
            <w:r>
              <w:rPr>
                <w:spacing w:val="-2"/>
              </w:rPr>
              <w:t>Nasdaq;</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spacing w:val="-2"/>
              </w:rPr>
            </w:pPr>
            <w:r>
              <w:rPr>
                <w:spacing w:val="-2"/>
              </w:rPr>
              <w:t>through trading plans entered into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tbl>
      <w:tblPr>
        <w:tblW w:w="5000" w:type="pct"/>
        <w:jc w:val="left"/>
        <w:tblInd w:w="0" w:type="dxa"/>
        <w:tblLayout w:type="fixed"/>
        <w:tblCellMar>
          <w:top w:w="0" w:type="dxa"/>
          <w:left w:w="0" w:type="dxa"/>
          <w:bottom w:w="0" w:type="dxa"/>
          <w:right w:w="0" w:type="dxa"/>
        </w:tblCellMar>
      </w:tblPr>
      <w:tblGrid>
        <w:gridCol w:w="88"/>
        <w:gridCol w:w="223"/>
        <w:gridCol w:w="9894"/>
      </w:tblGrid>
      <w:tr>
        <w:trPr/>
        <w:tc>
          <w:tcPr>
            <w:tcW w:w="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4" w:type="dxa"/>
            <w:tcBorders/>
            <w:vAlign w:val="center"/>
          </w:tcPr>
          <w:p>
            <w:pPr>
              <w:pStyle w:val="TableContents"/>
              <w:bidi w:val="0"/>
              <w:spacing w:before="0" w:after="283"/>
              <w:jc w:val="left"/>
              <w:rPr/>
            </w:pPr>
            <w:r>
              <w:rPr/>
              <w:t>to or through underwriters or broker-</w:t>
            </w:r>
            <w:r>
              <w:rPr>
                <w:spacing w:val="-2"/>
              </w:rPr>
              <w:t>dealers;</w:t>
            </w:r>
          </w:p>
        </w:tc>
      </w:tr>
    </w:tbl>
    <w:tbl>
      <w:tblPr>
        <w:tblW w:w="5000" w:type="pct"/>
        <w:jc w:val="left"/>
        <w:tblInd w:w="0" w:type="dxa"/>
        <w:tblLayout w:type="fixed"/>
        <w:tblCellMar>
          <w:top w:w="0" w:type="dxa"/>
          <w:left w:w="0" w:type="dxa"/>
          <w:bottom w:w="0" w:type="dxa"/>
          <w:right w:w="0" w:type="dxa"/>
        </w:tblCellMar>
      </w:tblPr>
      <w:tblGrid>
        <w:gridCol w:w="58"/>
        <w:gridCol w:w="147"/>
        <w:gridCol w:w="10000"/>
      </w:tblGrid>
      <w:tr>
        <w:trPr/>
        <w:tc>
          <w:tcPr>
            <w:tcW w:w="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0" w:type="dxa"/>
            <w:tcBorders/>
            <w:vAlign w:val="center"/>
          </w:tcPr>
          <w:p>
            <w:pPr>
              <w:pStyle w:val="TableContents"/>
              <w:bidi w:val="0"/>
              <w:spacing w:before="0" w:after="283"/>
              <w:jc w:val="left"/>
              <w:rPr/>
            </w:pPr>
            <w:r>
              <w:rPr/>
              <w:t xml:space="preserve">settlement of short sales entered into after the date of this </w:t>
            </w:r>
            <w:r>
              <w:rPr>
                <w:spacing w:val="-2"/>
              </w:rPr>
              <w:t>prospectus;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 xml:space="preserve">agreements with broker-dealers to sell a specified number of securities at a stipulated price per share and/or </w:t>
            </w:r>
            <w:r>
              <w:rPr>
                <w:spacing w:val="-2"/>
              </w:rPr>
              <w:t>warrant;</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tbl>
      <w:tblPr>
        <w:tblW w:w="5000" w:type="pct"/>
        <w:jc w:val="left"/>
        <w:tblInd w:w="0" w:type="dxa"/>
        <w:tblLayout w:type="fixed"/>
        <w:tblCellMar>
          <w:top w:w="0" w:type="dxa"/>
          <w:left w:w="0" w:type="dxa"/>
          <w:bottom w:w="0" w:type="dxa"/>
          <w:right w:w="0" w:type="dxa"/>
        </w:tblCellMar>
      </w:tblPr>
      <w:tblGrid>
        <w:gridCol w:w="46"/>
        <w:gridCol w:w="115"/>
        <w:gridCol w:w="10044"/>
      </w:tblGrid>
      <w:tr>
        <w:trPr/>
        <w:tc>
          <w:tcPr>
            <w:tcW w:w="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left"/>
              <w:rPr/>
            </w:pPr>
            <w:r>
              <w:rPr/>
              <w:t xml:space="preserve">in privately negotiated transactions, whether through an options exchange or </w:t>
            </w:r>
            <w:r>
              <w:rPr>
                <w:spacing w:val="-2"/>
              </w:rPr>
              <w:t>otherwise;</w:t>
            </w:r>
          </w:p>
        </w:tc>
      </w:tr>
    </w:tbl>
    <w:tbl>
      <w:tblPr>
        <w:tblW w:w="5000" w:type="pct"/>
        <w:jc w:val="left"/>
        <w:tblInd w:w="0" w:type="dxa"/>
        <w:tblLayout w:type="fixed"/>
        <w:tblCellMar>
          <w:top w:w="0" w:type="dxa"/>
          <w:left w:w="0" w:type="dxa"/>
          <w:bottom w:w="0" w:type="dxa"/>
          <w:right w:w="0" w:type="dxa"/>
        </w:tblCellMar>
      </w:tblPr>
      <w:tblGrid>
        <w:gridCol w:w="168"/>
        <w:gridCol w:w="420"/>
        <w:gridCol w:w="9617"/>
      </w:tblGrid>
      <w:tr>
        <w:trPr/>
        <w:tc>
          <w:tcPr>
            <w:tcW w:w="16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17" w:type="dxa"/>
            <w:tcBorders/>
            <w:vAlign w:val="center"/>
          </w:tcPr>
          <w:p>
            <w:pPr>
              <w:pStyle w:val="TableContents"/>
              <w:bidi w:val="0"/>
              <w:spacing w:before="0" w:after="283"/>
              <w:jc w:val="left"/>
              <w:rPr/>
            </w:pPr>
            <w:r>
              <w:rPr/>
              <w:t xml:space="preserve">in options </w:t>
            </w:r>
            <w:r>
              <w:rPr>
                <w:spacing w:val="-2"/>
              </w:rPr>
              <w:t>transactions;</w:t>
            </w:r>
          </w:p>
        </w:tc>
      </w:tr>
    </w:tbl>
    <w:tbl>
      <w:tblPr>
        <w:tblW w:w="5000" w:type="pct"/>
        <w:jc w:val="left"/>
        <w:tblInd w:w="0" w:type="dxa"/>
        <w:tblLayout w:type="fixed"/>
        <w:tblCellMar>
          <w:top w:w="0" w:type="dxa"/>
          <w:left w:w="0" w:type="dxa"/>
          <w:bottom w:w="0" w:type="dxa"/>
          <w:right w:w="0" w:type="dxa"/>
        </w:tblCellMar>
      </w:tblPr>
      <w:tblGrid>
        <w:gridCol w:w="64"/>
        <w:gridCol w:w="161"/>
        <w:gridCol w:w="9980"/>
      </w:tblGrid>
      <w:tr>
        <w:trPr/>
        <w:tc>
          <w:tcPr>
            <w:tcW w:w="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0" w:type="dxa"/>
            <w:tcBorders/>
            <w:vAlign w:val="center"/>
          </w:tcPr>
          <w:p>
            <w:pPr>
              <w:pStyle w:val="TableContents"/>
              <w:bidi w:val="0"/>
              <w:spacing w:before="0" w:after="283"/>
              <w:jc w:val="left"/>
              <w:rPr/>
            </w:pPr>
            <w:r>
              <w:rPr/>
              <w:t xml:space="preserve">through a combination of any of the above methods of sale; </w:t>
            </w:r>
            <w:r>
              <w:rPr>
                <w:spacing w:val="-5"/>
              </w:rPr>
              <w:t>or</w:t>
            </w:r>
          </w:p>
        </w:tc>
      </w:tr>
    </w:tbl>
    <w:tbl>
      <w:tblPr>
        <w:tblW w:w="5000" w:type="pct"/>
        <w:jc w:val="left"/>
        <w:tblInd w:w="0" w:type="dxa"/>
        <w:tblLayout w:type="fixed"/>
        <w:tblCellMar>
          <w:top w:w="0" w:type="dxa"/>
          <w:left w:w="0" w:type="dxa"/>
          <w:bottom w:w="0" w:type="dxa"/>
          <w:right w:w="0" w:type="dxa"/>
        </w:tblCellMar>
      </w:tblPr>
      <w:tblGrid>
        <w:gridCol w:w="72"/>
        <w:gridCol w:w="181"/>
        <w:gridCol w:w="9952"/>
      </w:tblGrid>
      <w:tr>
        <w:trPr/>
        <w:tc>
          <w:tcPr>
            <w:tcW w:w="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2" w:type="dxa"/>
            <w:tcBorders/>
            <w:vAlign w:val="center"/>
          </w:tcPr>
          <w:p>
            <w:pPr>
              <w:pStyle w:val="TableContents"/>
              <w:bidi w:val="0"/>
              <w:spacing w:before="0" w:after="283"/>
              <w:jc w:val="left"/>
              <w:rPr/>
            </w:pPr>
            <w:r>
              <w:rPr/>
              <w:t xml:space="preserve">any other method permitted pursuant to applicable </w:t>
            </w:r>
            <w:r>
              <w:rPr>
                <w:spacing w:val="-4"/>
              </w:rPr>
              <w:t>law.</w:t>
            </w:r>
          </w:p>
        </w:tc>
      </w:tr>
    </w:tbl>
    <w:p>
      <w:pPr>
        <w:pStyle w:val="TextBody"/>
        <w:bidi w:val="0"/>
        <w:spacing w:before="73" w:after="73"/>
        <w:ind w:left="73" w:right="73"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65" w:after="65"/>
        <w:ind w:left="65" w:right="65"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related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before="74" w:after="74"/>
        <w:ind w:left="74" w:right="7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and any applicable free writing prospectus will be used by the underwriters to resell the securities.</w:t>
      </w:r>
    </w:p>
    <w:p>
      <w:pPr>
        <w:pStyle w:val="TextBody"/>
        <w:bidi w:val="0"/>
        <w:spacing w:before="65" w:after="65"/>
        <w:ind w:left="65" w:right="6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related free writing prospectus, as applicable, the name of the dealer and the terms of the transactions.</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document incorporated by reference, or related free writing prospectus, as applicable, will describe the terms of any such sales, including the terms of any bidding or auction process, if used.</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against specified liabilities, including liabilities incurred under the Securities Act, or to contribution to payments they may be required to make in respect of such liabilities. If required, the prospectus supplement, document incorporated by reference, or related free writing prospectus,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68" w:after="68"/>
        <w:ind w:left="68" w:right="68"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spacing w:before="66" w:after="66"/>
        <w:ind w:left="66" w:right="66" w:hanging="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67" w:after="67"/>
        <w:ind w:left="67" w:right="67"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required, this prospectus may be amended or supplemented from time to time to describe a specific plan of </w:t>
      </w:r>
      <w:r>
        <w:rPr>
          <w:rFonts w:ascii="Times New Roman;Times;Serif" w:hAnsi="Times New Roman;Times;Serif"/>
          <w:b w:val="false"/>
          <w:i w:val="false"/>
          <w:caps w:val="false"/>
          <w:smallCaps w:val="false"/>
          <w:spacing w:val="-2"/>
          <w:sz w:val="20"/>
        </w:rPr>
        <w:t>distribution.</w:t>
      </w:r>
    </w:p>
    <w:p>
      <w:pPr>
        <w:pStyle w:val="TextBody"/>
        <w:bidi w:val="0"/>
        <w:spacing w:before="36" w:after="36"/>
        <w:ind w:left="36" w:right="3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offer other than common stock and public warrants which are listed on Nasdaq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val="false"/>
          <w:i w:val="false"/>
          <w:caps w:val="false"/>
          <w:smallCaps w:val="false"/>
          <w:sz w:val="20"/>
        </w:rPr>
      </w:pPr>
      <w:bookmarkStart w:id="16" w:name="legal"/>
      <w:bookmarkEnd w:id="16"/>
      <w:r>
        <w:rPr>
          <w:rFonts w:ascii="Times New Roman;Times;Serif" w:hAnsi="Times New Roman;Times;Serif"/>
          <w:b/>
          <w:i w:val="false"/>
          <w:caps w:val="false"/>
          <w:smallCaps w:val="false"/>
          <w:spacing w:val="-9"/>
          <w:sz w:val="20"/>
        </w:rPr>
        <w:t>LEGAL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MATTERS</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the applicable prospectus supplement, certain legal matters regarding the validity of the securities to be offered by this prospectus will be passed upon for us by </w:t>
      </w:r>
      <w:r>
        <w:rPr>
          <w:rFonts w:ascii="Times New Roman;Times;Serif" w:hAnsi="Times New Roman;Times;Serif"/>
          <w:b w:val="false"/>
          <w:i w:val="false"/>
          <w:caps w:val="false"/>
          <w:smallCaps w:val="false"/>
          <w:spacing w:val="12"/>
          <w:sz w:val="20"/>
        </w:rPr>
        <w:t>Allen Overy Shearman Sterling US LLP</w:t>
      </w:r>
      <w:r>
        <w:rPr>
          <w:rFonts w:ascii="Times New Roman;Times;Serif" w:hAnsi="Times New Roman;Times;Serif"/>
          <w:b w:val="false"/>
          <w:i w:val="false"/>
          <w:caps w:val="false"/>
          <w:smallCaps w:val="false"/>
          <w:sz w:val="20"/>
        </w:rPr>
        <w:t>, Houston, Texas. Additional legal matters may be passed upon for us or any underwriters, dealers, or agents by counsel that will be named in the applicable prospectus supplement.</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7" w:name="experts"/>
      <w:bookmarkEnd w:id="17"/>
      <w:r>
        <w:rPr>
          <w:rFonts w:ascii="Times New Roman;Times;Serif" w:hAnsi="Times New Roman;Times;Serif"/>
          <w:b/>
          <w:i w:val="false"/>
          <w:caps w:val="false"/>
          <w:smallCaps w:val="false"/>
          <w:sz w:val="20"/>
        </w:rPr>
        <w:t>EXPERTS</w:t>
      </w:r>
    </w:p>
    <w:p>
      <w:pPr>
        <w:pStyle w:val="TextBody"/>
        <w:bidi w:val="0"/>
        <w:spacing w:lineRule="auto" w:line="264" w:before="183" w:after="183"/>
        <w:ind w:left="183" w:right="18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AEye, Inc. as of December 31, 2025, and 2024 and for each of the years in the two-year period ended December 31, 2025, have been incorporated by reference herein in reliance upon the report issued by KPMG LLP, independent registered public accounting firm, incorporated by reference herein, and upon the authority of said firm as experts in accounting and auditing.</w:t>
      </w:r>
    </w:p>
    <w:p>
      <w:pPr>
        <w:pStyle w:val="TextBody"/>
        <w:bidi w:val="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8" w:name="where"/>
      <w:bookmarkEnd w:id="18"/>
      <w:r>
        <w:rPr>
          <w:rFonts w:ascii="Times New Roman;Times;Serif" w:hAnsi="Times New Roman;Times;Serif"/>
          <w:b/>
          <w:i w:val="false"/>
          <w:caps w:val="false"/>
          <w:smallCaps w:val="false"/>
          <w:sz w:val="20"/>
        </w:rPr>
        <w:t>WHERE YOU CAN FIND MORE INFORMATION</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This prospectus, which constitutes a part of the registration statement, does not contain all of the information set forth in the registration statement or the exhibits and schedules filed therewith.</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https://www.aeye.ai/.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are part of a registration statement that we filed with the SEC, but do not contain all of the information in the registration statement. The full registration statement may be obtained from the SEC or us, as provided below. Forms of any indenture or other documents establishing the terms of the offered securities are filed as exhibits to the registration statement of which this prospectus forms a part, or will be filed through an amendment to our registration statement on Form S-3, or under cover of a Current Report on Form 8-K, or other document filed with the SEC and incorporated into this prospectus by reference. Statements in the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9" w:name="info"/>
      <w:bookmarkEnd w:id="19"/>
      <w:r>
        <w:rPr>
          <w:rFonts w:ascii="Times New Roman;Times;Serif" w:hAnsi="Times New Roman;Times;Serif"/>
          <w:b/>
          <w:i w:val="false"/>
          <w:caps w:val="false"/>
          <w:smallCaps w:val="false"/>
          <w:sz w:val="20"/>
        </w:rPr>
        <w:t>INFORMATION INCORPORATED BY REFERENCE</w:t>
      </w:r>
    </w:p>
    <w:p>
      <w:pPr>
        <w:pStyle w:val="TextBody"/>
        <w:bidi w:val="0"/>
        <w:spacing w:lineRule="auto" w:line="264" w:before="182" w:after="182"/>
        <w:ind w:left="182" w:right="18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18" w:after="18"/>
        <w:ind w:left="18" w:right="18"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 xml:space="preserve">our Annual Report on </w:t>
            </w:r>
            <w:hyperlink r:id="rId3">
              <w:r>
                <w:rPr>
                  <w:rStyle w:val="InternetLink"/>
                </w:rPr>
                <w:t>Form 10-K for the year ended December 31, 2025</w:t>
              </w:r>
            </w:hyperlink>
            <w:r>
              <w:rPr/>
              <w:t xml:space="preserve">, filed with the SEC on March 18, </w:t>
            </w:r>
            <w:r>
              <w:rPr>
                <w:spacing w:val="-2"/>
              </w:rPr>
              <w:t>2026;</w:t>
            </w:r>
          </w:p>
        </w:tc>
      </w:tr>
    </w:tbl>
    <w:p>
      <w:pPr>
        <w:pStyle w:val="TextBody"/>
        <w:bidi w:val="0"/>
        <w:spacing w:before="34" w:after="34"/>
        <w:ind w:left="1800" w:right="34"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 xml:space="preserve">our Quarterly Report on </w:t>
            </w:r>
            <w:hyperlink r:id="rId4">
              <w:r>
                <w:rPr>
                  <w:rStyle w:val="InternetLink"/>
                </w:rPr>
                <w:t>Form 10-Q for the quarter ended March 31, 2026</w:t>
              </w:r>
            </w:hyperlink>
            <w:r>
              <w:rPr/>
              <w:t>, filed with the SEC on May 14, 2026;</w:t>
            </w:r>
          </w:p>
        </w:tc>
      </w:tr>
    </w:tbl>
    <w:p>
      <w:pPr>
        <w:pStyle w:val="TextBody"/>
        <w:bidi w:val="0"/>
        <w:spacing w:lineRule="auto" w:line="242" w:before="1" w:after="1"/>
        <w:ind w:left="1800" w:right="1"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 xml:space="preserve">our Definitive Proxy Statement on </w:t>
            </w:r>
            <w:hyperlink r:id="rId5">
              <w:r>
                <w:rPr>
                  <w:rStyle w:val="InternetLink"/>
                </w:rPr>
                <w:t>Schedule 14A</w:t>
              </w:r>
            </w:hyperlink>
            <w:r>
              <w:rPr/>
              <w:t xml:space="preserve"> for the 2026 Annual Meeting of Stockholders, filed with the SEC on March 30, 2026 (to the extent specifically incorporated by reference into our Annual Report on Form 10-K for the fiscal year ended December 31, 2025);</w:t>
            </w:r>
          </w:p>
        </w:tc>
      </w:tr>
    </w:tbl>
    <w:p>
      <w:pPr>
        <w:pStyle w:val="TextBody"/>
        <w:bidi w:val="0"/>
        <w:spacing w:before="34" w:after="34"/>
        <w:ind w:left="1800" w:right="34" w:hanging="36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95"/>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90" w:type="dxa"/>
            <w:tcBorders/>
            <w:vAlign w:val="center"/>
          </w:tcPr>
          <w:p>
            <w:pPr>
              <w:pStyle w:val="TableContents"/>
              <w:bidi w:val="0"/>
              <w:spacing w:before="0" w:after="283"/>
              <w:jc w:val="left"/>
              <w:rPr/>
            </w:pPr>
            <w:r>
              <w:rPr/>
              <w:t xml:space="preserve">our Current Report on Form 8-K filed with the SEC on </w:t>
            </w:r>
            <w:hyperlink r:id="rId6">
              <w:r>
                <w:rPr>
                  <w:rStyle w:val="InternetLink"/>
                </w:rPr>
                <w:t>February 11, 2026</w:t>
              </w:r>
            </w:hyperlink>
            <w:r>
              <w:rPr/>
              <w:t xml:space="preserve">; </w:t>
            </w:r>
          </w:p>
        </w:tc>
      </w:tr>
    </w:tbl>
    <w:p>
      <w:pPr>
        <w:pStyle w:val="TextBody"/>
        <w:bidi w:val="0"/>
        <w:ind w:left="180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description of our common stock contained in Exhibit 4.8 to our Annual Report on Form 10-K for the year ended December 31, 2025, as subsequently amended or updated for the purpose of updating the description of our common stock.</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95"/>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50" w:type="dxa"/>
            <w:tcBorders/>
            <w:vAlign w:val="center"/>
          </w:tcPr>
          <w:p>
            <w:pPr>
              <w:pStyle w:val="TableContents"/>
              <w:bidi w:val="0"/>
              <w:spacing w:before="0" w:after="283"/>
              <w:jc w:val="left"/>
              <w:rPr/>
            </w:pPr>
            <w:r>
              <w:rPr/>
              <w:t xml:space="preserve">our Current Report on Form 8-K filed with the SEC on </w:t>
            </w:r>
            <w:hyperlink r:id="rId7">
              <w:r>
                <w:rPr>
                  <w:rStyle w:val="InternetLink"/>
                </w:rPr>
                <w:t>May 6, 2026</w:t>
              </w:r>
            </w:hyperlink>
            <w:r>
              <w:rPr/>
              <w:t xml:space="preserve">; </w:t>
            </w:r>
          </w:p>
        </w:tc>
      </w:tr>
    </w:tbl>
    <w:p>
      <w:pPr>
        <w:pStyle w:val="TextBody"/>
        <w:bidi w:val="0"/>
        <w:spacing w:before="0" w:after="283"/>
        <w:jc w:val="left"/>
        <w:rPr/>
      </w:pPr>
      <w:r>
        <w:rPr/>
        <w:t> </w:t>
      </w:r>
    </w:p>
    <w:tbl>
      <w:tblPr>
        <w:tblW w:w="7248" w:type="dxa"/>
        <w:jc w:val="left"/>
        <w:tblInd w:w="0" w:type="dxa"/>
        <w:tblLayout w:type="fixed"/>
        <w:tblCellMar>
          <w:top w:w="0" w:type="dxa"/>
          <w:left w:w="0" w:type="dxa"/>
          <w:bottom w:w="0" w:type="dxa"/>
          <w:right w:w="0" w:type="dxa"/>
        </w:tblCellMar>
      </w:tblPr>
      <w:tblGrid>
        <w:gridCol w:w="38"/>
        <w:gridCol w:w="9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15" w:type="dxa"/>
            <w:tcBorders/>
            <w:vAlign w:val="center"/>
          </w:tcPr>
          <w:p>
            <w:pPr>
              <w:pStyle w:val="TableContents"/>
              <w:bidi w:val="0"/>
              <w:spacing w:before="0" w:after="283"/>
              <w:jc w:val="left"/>
              <w:rPr/>
            </w:pPr>
            <w:r>
              <w:rPr/>
              <w:t xml:space="preserve">our Current Report on Form 8-K filed with the SEC on </w:t>
            </w:r>
            <w:hyperlink r:id="rId8">
              <w:r>
                <w:rPr>
                  <w:rStyle w:val="InternetLink"/>
                </w:rPr>
                <w:t>May 12, 2026</w:t>
              </w:r>
            </w:hyperlink>
            <w:r>
              <w:rPr/>
              <w:t>; and</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95"/>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10" w:type="dxa"/>
            <w:tcBorders/>
            <w:vAlign w:val="center"/>
          </w:tcPr>
          <w:p>
            <w:pPr>
              <w:pStyle w:val="TableContents"/>
              <w:bidi w:val="0"/>
              <w:spacing w:before="0" w:after="283"/>
              <w:jc w:val="left"/>
              <w:rPr/>
            </w:pPr>
            <w:r>
              <w:rPr/>
              <w:t xml:space="preserve">our Current Report on Form 8-K filed with the SEC on </w:t>
            </w:r>
            <w:hyperlink r:id="rId9">
              <w:r>
                <w:rPr>
                  <w:rStyle w:val="InternetLink"/>
                </w:rPr>
                <w:t>May 15, 2026</w:t>
              </w:r>
            </w:hyperlink>
            <w:r>
              <w:rPr/>
              <w:t>.</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w:t>
      </w:r>
      <w:r>
        <w:rPr>
          <w:rFonts w:ascii="Times New Roman;Times;Serif" w:hAnsi="Times New Roman;Times;Serif"/>
          <w:b w:val="false"/>
          <w:i w:val="false"/>
          <w:caps w:val="false"/>
          <w:smallCaps w:val="false"/>
          <w:spacing w:val="-2"/>
          <w:sz w:val="20"/>
        </w:rPr>
        <w:t>documents.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us at the following address:</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AEye, </w:t>
      </w:r>
      <w:r>
        <w:rPr>
          <w:rFonts w:ascii="Times New Roman;Times;Serif" w:hAnsi="Times New Roman;Times;Serif"/>
          <w:b w:val="false"/>
          <w:i w:val="false"/>
          <w:caps w:val="false"/>
          <w:smallCaps w:val="false"/>
          <w:spacing w:val="-4"/>
          <w:sz w:val="20"/>
        </w:rPr>
        <w:t>Inc.</w:t>
        <w:br/>
      </w:r>
      <w:r>
        <w:rPr>
          <w:rFonts w:ascii="Times New Roman;Times;Serif" w:hAnsi="Times New Roman;Times;Serif"/>
          <w:b w:val="false"/>
          <w:i w:val="false"/>
          <w:caps w:val="false"/>
          <w:smallCaps w:val="false"/>
          <w:sz w:val="20"/>
        </w:rPr>
        <w:t>Attn: General Counsel</w:t>
      </w:r>
      <w:r>
        <w:rPr>
          <w:rFonts w:ascii="Times New Roman;Times;Serif" w:hAnsi="Times New Roman;Times;Serif"/>
          <w:b w:val="false"/>
          <w:i w:val="false"/>
          <w:caps w:val="false"/>
          <w:smallCaps w:val="false"/>
          <w:spacing w:val="40"/>
          <w:sz w:val="20"/>
        </w:rPr>
        <w:br/>
      </w:r>
      <w:r>
        <w:rPr>
          <w:rFonts w:ascii="Times New Roman;Times;Serif" w:hAnsi="Times New Roman;Times;Serif"/>
          <w:b w:val="false"/>
          <w:i w:val="false"/>
          <w:caps w:val="false"/>
          <w:smallCaps w:val="false"/>
          <w:sz w:val="20"/>
        </w:rPr>
        <w:t>4670 Willow Road, Suite 125</w:t>
        <w:br/>
        <w:t>Pleasanton, CA 94588</w:t>
        <w:br/>
      </w:r>
      <w:r>
        <w:rPr>
          <w:rFonts w:ascii="Times New Roman;Times;Serif" w:hAnsi="Times New Roman;Times;Serif"/>
          <w:b w:val="false"/>
          <w:i w:val="false"/>
          <w:caps w:val="false"/>
          <w:smallCaps w:val="false"/>
          <w:spacing w:val="-6"/>
          <w:sz w:val="20"/>
        </w:rPr>
        <w:t>(925) 400-4366</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been specifically incorporated by reference in this prospectus or any accompanying prospectus supplement.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caps w:val="false"/>
          <w:smallCaps w:val="false"/>
        </w:rPr>
      </w:pPr>
      <w:r>
        <w:rPr>
          <w:caps w:val="false"/>
          <w:smallCaps w:val="false"/>
        </w:rPr>
        <w:drawing>
          <wp:inline distT="0" distB="0" distL="0" distR="0">
            <wp:extent cx="263842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638425" cy="733425"/>
                    </a:xfrm>
                    <a:prstGeom prst="rect">
                      <a:avLst/>
                    </a:prstGeom>
                  </pic:spPr>
                </pic:pic>
              </a:graphicData>
            </a:graphic>
          </wp:inline>
        </w:drawing>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AEYE, INC.</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1" w:after="1"/>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1" w:after="1"/>
        <w:ind w:left="1" w:right="1" w:hanging="0"/>
        <w:jc w:val="center"/>
        <w:rPr>
          <w:caps w:val="false"/>
          <w:smallCaps w:val="false"/>
        </w:rPr>
      </w:pPr>
      <w:r>
        <w:rPr>
          <w:caps w:val="false"/>
          <w:smallCaps w:val="false"/>
        </w:rPr>
        <w:t> </w:t>
      </w:r>
    </w:p>
    <w:p>
      <w:pPr>
        <w:pStyle w:val="TextBody"/>
        <w:bidi w:val="0"/>
        <w:spacing w:before="82" w:after="82"/>
        <w:ind w:left="82" w:right="82" w:hanging="0"/>
        <w:jc w:val="center"/>
        <w:rPr>
          <w:caps w:val="false"/>
          <w:smallCaps w:val="false"/>
          <w:spacing w:val="-5"/>
        </w:rPr>
      </w:pPr>
      <w:r>
        <w:rPr>
          <w:caps w:val="false"/>
          <w:smallCaps w:val="false"/>
          <w:spacing w:val="-5"/>
        </w:rPr>
        <w:t> </w:t>
      </w:r>
    </w:p>
    <w:p>
      <w:pPr>
        <w:pStyle w:val="TextBody"/>
        <w:bidi w:val="0"/>
        <w:spacing w:before="82" w:after="82"/>
        <w:ind w:left="82" w:right="82" w:hanging="0"/>
        <w:jc w:val="center"/>
        <w:rPr>
          <w:caps w:val="false"/>
          <w:smallCaps w:val="false"/>
          <w:spacing w:val="-5"/>
        </w:rPr>
      </w:pPr>
      <w:r>
        <w:rPr>
          <w:caps w:val="false"/>
          <w:smallCaps w:val="false"/>
          <w:spacing w:val="-5"/>
        </w:rPr>
        <w:t> </w:t>
      </w:r>
    </w:p>
    <w:p>
      <w:pPr>
        <w:pStyle w:val="TextBody"/>
        <w:bidi w:val="0"/>
        <w:spacing w:before="82" w:after="82"/>
        <w:ind w:left="82" w:right="82" w:hanging="0"/>
        <w:jc w:val="center"/>
        <w:rPr>
          <w:caps w:val="false"/>
          <w:smallCaps w:val="false"/>
          <w:spacing w:val="-5"/>
        </w:rPr>
      </w:pPr>
      <w:r>
        <w:rPr>
          <w:caps w:val="false"/>
          <w:smallCaps w:val="false"/>
          <w:spacing w:val="-5"/>
        </w:rPr>
        <w:t> </w:t>
      </w:r>
    </w:p>
    <w:p>
      <w:pPr>
        <w:pStyle w:val="TextBody"/>
        <w:bidi w:val="0"/>
        <w:spacing w:before="82" w:after="82"/>
        <w:ind w:left="82" w:right="82" w:hanging="0"/>
        <w:jc w:val="center"/>
        <w:rPr>
          <w:caps w:val="false"/>
          <w:smallCaps w:val="false"/>
          <w:spacing w:val="-5"/>
        </w:rPr>
      </w:pPr>
      <w:r>
        <w:rPr>
          <w:caps w:val="false"/>
          <w:smallCaps w:val="false"/>
          <w:spacing w:val="-5"/>
        </w:rPr>
        <w:t> </w:t>
      </w:r>
    </w:p>
    <w:p>
      <w:pPr>
        <w:pStyle w:val="TextBody"/>
        <w:bidi w:val="0"/>
        <w:spacing w:before="82" w:after="82"/>
        <w:ind w:left="82" w:right="82" w:hanging="0"/>
        <w:jc w:val="center"/>
        <w:rPr>
          <w:caps w:val="false"/>
          <w:smallCaps w:val="false"/>
          <w:spacing w:val="-5"/>
        </w:rPr>
      </w:pPr>
      <w:r>
        <w:rPr>
          <w:caps w:val="false"/>
          <w:smallCaps w:val="false"/>
          <w:spacing w:val="-5"/>
        </w:rPr>
        <w:t> </w:t>
      </w:r>
    </w:p>
    <w:p>
      <w:pPr>
        <w:pStyle w:val="TextBody"/>
        <w:bidi w:val="0"/>
        <w:spacing w:before="82" w:after="82"/>
        <w:ind w:left="82" w:right="82" w:hanging="0"/>
        <w:jc w:val="center"/>
        <w:rPr>
          <w:caps w:val="false"/>
          <w:smallCaps w:val="false"/>
          <w:spacing w:val="-5"/>
        </w:rPr>
      </w:pPr>
      <w:r>
        <w:rPr>
          <w:caps w:val="false"/>
          <w:smallCaps w:val="false"/>
          <w:spacing w:val="-5"/>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5"/>
          <w:sz w:val="20"/>
        </w:rPr>
      </w:pPr>
      <w:r>
        <w:rPr>
          <w:rFonts w:ascii="Times New Roman;Times;Serif" w:hAnsi="Times New Roman;Times;Serif"/>
          <w:b/>
          <w:i w:val="false"/>
          <w:caps w:val="false"/>
          <w:smallCaps w:val="false"/>
          <w:spacing w:val="-5"/>
          <w:sz w:val="20"/>
        </w:rPr>
        <w:t>Part II</w:t>
      </w:r>
    </w:p>
    <w:p>
      <w:pPr>
        <w:pStyle w:val="TextBody"/>
        <w:bidi w:val="0"/>
        <w:spacing w:before="119" w:after="119"/>
        <w:ind w:left="119" w:right="119" w:hanging="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INFORMATION NOT REQUIRED IN PROSPECTUS</w:t>
      </w:r>
    </w:p>
    <w:p>
      <w:pPr>
        <w:pStyle w:val="TextBody"/>
        <w:bidi w:val="0"/>
        <w:spacing w:before="36" w:after="36"/>
        <w:ind w:left="36" w:right="36"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1565"/>
        <w:gridCol w:w="8570"/>
      </w:tblGrid>
      <w:tr>
        <w:trPr/>
        <w:tc>
          <w:tcPr>
            <w:tcW w:w="7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b/>
              </w:rPr>
            </w:pPr>
            <w:r>
              <w:rPr>
                <w:b/>
              </w:rPr>
              <w:t xml:space="preserve">Item </w:t>
            </w:r>
            <w:r>
              <w:rPr>
                <w:b/>
                <w:spacing w:val="-5"/>
              </w:rPr>
              <w:t>14.</w:t>
            </w:r>
          </w:p>
        </w:tc>
        <w:tc>
          <w:tcPr>
            <w:tcW w:w="8570" w:type="dxa"/>
            <w:tcBorders/>
            <w:vAlign w:val="center"/>
          </w:tcPr>
          <w:p>
            <w:pPr>
              <w:pStyle w:val="TableContents"/>
              <w:bidi w:val="0"/>
              <w:spacing w:before="0" w:after="283"/>
              <w:jc w:val="left"/>
              <w:rPr>
                <w:b/>
              </w:rPr>
            </w:pPr>
            <w:r>
              <w:rPr>
                <w:b/>
              </w:rPr>
              <w:t xml:space="preserve">Other Expenses of Issuance and </w:t>
            </w:r>
            <w:r>
              <w:rPr>
                <w:b/>
                <w:spacing w:val="-2"/>
              </w:rPr>
              <w:t>Distribution.</w:t>
            </w:r>
          </w:p>
        </w:tc>
      </w:tr>
    </w:tbl>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estimated expenses to be incurred in connection with the offering described in this registration statement, other than underwriting discounts and commissions.</w:t>
      </w:r>
    </w:p>
    <w:p>
      <w:pPr>
        <w:pStyle w:val="TextBody"/>
        <w:bidi w:val="0"/>
        <w:jc w:val="left"/>
        <w:rPr>
          <w:caps w:val="false"/>
          <w:smallCaps w:val="false"/>
        </w:rPr>
      </w:pPr>
      <w:r>
        <w:rPr>
          <w:caps w:val="false"/>
          <w:smallCaps w:val="false"/>
        </w:rPr>
        <w:t> </w:t>
      </w:r>
    </w:p>
    <w:p>
      <w:pPr>
        <w:pStyle w:val="TextBody"/>
        <w:bidi w:val="0"/>
        <w:spacing w:before="142" w:after="142"/>
        <w:ind w:left="142" w:right="142" w:hanging="0"/>
        <w:jc w:val="left"/>
        <w:rPr>
          <w:caps w:val="false"/>
          <w:smallCaps w:val="false"/>
        </w:rPr>
      </w:pPr>
      <w:r>
        <w:rPr>
          <w:caps w:val="false"/>
          <w:smallCaps w:val="false"/>
        </w:rPr>
        <w:t> </w:t>
      </w:r>
    </w:p>
    <w:tbl>
      <w:tblPr>
        <w:tblW w:w="5915" w:type="dxa"/>
        <w:jc w:val="center"/>
        <w:tblInd w:w="0" w:type="dxa"/>
        <w:tblLayout w:type="fixed"/>
        <w:tblCellMar>
          <w:top w:w="0" w:type="dxa"/>
          <w:left w:w="0" w:type="dxa"/>
          <w:bottom w:w="0" w:type="dxa"/>
          <w:right w:w="0" w:type="dxa"/>
        </w:tblCellMar>
      </w:tblPr>
      <w:tblGrid>
        <w:gridCol w:w="5050"/>
        <w:gridCol w:w="865"/>
      </w:tblGrid>
      <w:tr>
        <w:trPr/>
        <w:tc>
          <w:tcPr>
            <w:tcW w:w="5050" w:type="dxa"/>
            <w:tcBorders/>
            <w:vAlign w:val="center"/>
          </w:tcPr>
          <w:p>
            <w:pPr>
              <w:pStyle w:val="TableContents"/>
              <w:bidi w:val="0"/>
              <w:spacing w:before="0" w:after="283"/>
              <w:jc w:val="left"/>
              <w:rPr/>
            </w:pPr>
            <w:r>
              <w:rPr/>
              <w:t> </w:t>
            </w:r>
          </w:p>
        </w:tc>
        <w:tc>
          <w:tcPr>
            <w:tcW w:w="865" w:type="dxa"/>
            <w:tcBorders>
              <w:bottom w:val="single" w:sz="8" w:space="0" w:color="000000"/>
            </w:tcBorders>
            <w:tcMar>
              <w:bottom w:w="28" w:type="dxa"/>
            </w:tcMar>
            <w:vAlign w:val="center"/>
          </w:tcPr>
          <w:p>
            <w:pPr>
              <w:pStyle w:val="TableContents"/>
              <w:bidi w:val="0"/>
              <w:spacing w:before="0" w:after="283"/>
              <w:jc w:val="center"/>
              <w:rPr>
                <w:b/>
                <w:spacing w:val="-2"/>
                <w:sz w:val="20"/>
              </w:rPr>
            </w:pPr>
            <w:r>
              <w:rPr>
                <w:b/>
                <w:spacing w:val="-2"/>
                <w:sz w:val="20"/>
              </w:rPr>
              <w:t>Amount</w:t>
            </w:r>
          </w:p>
        </w:tc>
      </w:tr>
      <w:tr>
        <w:trPr/>
        <w:tc>
          <w:tcPr>
            <w:tcW w:w="5050" w:type="dxa"/>
            <w:tcBorders/>
            <w:vAlign w:val="center"/>
          </w:tcPr>
          <w:p>
            <w:pPr>
              <w:pStyle w:val="TableContents"/>
              <w:bidi w:val="0"/>
              <w:spacing w:before="0" w:after="283"/>
              <w:jc w:val="left"/>
              <w:rPr/>
            </w:pPr>
            <w:r>
              <w:rPr/>
              <w:t xml:space="preserve">Securities and Exchange Commission registration </w:t>
            </w:r>
            <w:r>
              <w:rPr>
                <w:spacing w:val="-5"/>
              </w:rPr>
              <w:t>fee</w:t>
            </w:r>
          </w:p>
        </w:tc>
        <w:tc>
          <w:tcPr>
            <w:tcW w:w="865" w:type="dxa"/>
            <w:tcBorders/>
            <w:vAlign w:val="center"/>
          </w:tcPr>
          <w:p>
            <w:pPr>
              <w:pStyle w:val="TableContents"/>
              <w:bidi w:val="0"/>
              <w:spacing w:before="0" w:after="283"/>
              <w:jc w:val="left"/>
              <w:rPr/>
            </w:pPr>
            <w:r>
              <w:rPr/>
              <w:t xml:space="preserve">$ </w:t>
            </w:r>
            <w:r>
              <w:rPr>
                <w:spacing w:val="-2"/>
              </w:rPr>
              <w:t>27,620</w:t>
            </w:r>
          </w:p>
        </w:tc>
      </w:tr>
      <w:tr>
        <w:trPr/>
        <w:tc>
          <w:tcPr>
            <w:tcW w:w="5050" w:type="dxa"/>
            <w:tcBorders/>
            <w:vAlign w:val="center"/>
          </w:tcPr>
          <w:p>
            <w:pPr>
              <w:pStyle w:val="TableContents"/>
              <w:bidi w:val="0"/>
              <w:spacing w:before="0" w:after="283"/>
              <w:jc w:val="left"/>
              <w:rPr/>
            </w:pPr>
            <w:r>
              <w:rPr/>
              <w:t xml:space="preserve">Accounting fees and </w:t>
            </w:r>
            <w:r>
              <w:rPr>
                <w:spacing w:val="-2"/>
              </w:rPr>
              <w:t>expenses</w:t>
            </w:r>
          </w:p>
        </w:tc>
        <w:tc>
          <w:tcPr>
            <w:tcW w:w="865" w:type="dxa"/>
            <w:tcBorders/>
            <w:vAlign w:val="center"/>
          </w:tcPr>
          <w:p>
            <w:pPr>
              <w:pStyle w:val="TableContents"/>
              <w:bidi w:val="0"/>
              <w:spacing w:before="0" w:after="283"/>
              <w:jc w:val="left"/>
              <w:rPr/>
            </w:pPr>
            <w:r>
              <w:rPr/>
              <w:t xml:space="preserve">$ </w:t>
            </w:r>
            <w:r>
              <w:rPr>
                <w:spacing w:val="-10"/>
              </w:rPr>
              <w:t>*</w:t>
            </w:r>
          </w:p>
        </w:tc>
      </w:tr>
      <w:tr>
        <w:trPr/>
        <w:tc>
          <w:tcPr>
            <w:tcW w:w="5050" w:type="dxa"/>
            <w:tcBorders/>
            <w:vAlign w:val="center"/>
          </w:tcPr>
          <w:p>
            <w:pPr>
              <w:pStyle w:val="TableContents"/>
              <w:bidi w:val="0"/>
              <w:spacing w:before="0" w:after="283"/>
              <w:jc w:val="left"/>
              <w:rPr/>
            </w:pPr>
            <w:r>
              <w:rPr/>
              <w:t xml:space="preserve">Legal fees and </w:t>
            </w:r>
            <w:r>
              <w:rPr>
                <w:spacing w:val="-2"/>
              </w:rPr>
              <w:t>expenses</w:t>
            </w:r>
          </w:p>
        </w:tc>
        <w:tc>
          <w:tcPr>
            <w:tcW w:w="865" w:type="dxa"/>
            <w:tcBorders/>
            <w:vAlign w:val="center"/>
          </w:tcPr>
          <w:p>
            <w:pPr>
              <w:pStyle w:val="TableContents"/>
              <w:bidi w:val="0"/>
              <w:spacing w:before="0" w:after="283"/>
              <w:jc w:val="left"/>
              <w:rPr/>
            </w:pPr>
            <w:r>
              <w:rPr/>
              <w:t xml:space="preserve">$ </w:t>
            </w:r>
            <w:r>
              <w:rPr>
                <w:spacing w:val="-10"/>
              </w:rPr>
              <w:t>*</w:t>
            </w:r>
          </w:p>
        </w:tc>
      </w:tr>
      <w:tr>
        <w:trPr/>
        <w:tc>
          <w:tcPr>
            <w:tcW w:w="5050" w:type="dxa"/>
            <w:tcBorders/>
            <w:vAlign w:val="center"/>
          </w:tcPr>
          <w:p>
            <w:pPr>
              <w:pStyle w:val="TableContents"/>
              <w:bidi w:val="0"/>
              <w:spacing w:before="0" w:after="283"/>
              <w:jc w:val="left"/>
              <w:rPr/>
            </w:pPr>
            <w:r>
              <w:rPr/>
              <w:t xml:space="preserve">Financial printing and miscellaneous </w:t>
            </w:r>
            <w:r>
              <w:rPr>
                <w:spacing w:val="-2"/>
              </w:rPr>
              <w:t>expenses</w:t>
            </w:r>
          </w:p>
        </w:tc>
        <w:tc>
          <w:tcPr>
            <w:tcW w:w="865" w:type="dxa"/>
            <w:tcBorders>
              <w:bottom w:val="single" w:sz="8" w:space="0" w:color="000000"/>
            </w:tcBorders>
            <w:tcMar>
              <w:bottom w:w="28" w:type="dxa"/>
            </w:tcMar>
            <w:vAlign w:val="center"/>
          </w:tcPr>
          <w:p>
            <w:pPr>
              <w:pStyle w:val="TableContents"/>
              <w:bidi w:val="0"/>
              <w:spacing w:before="0" w:after="283"/>
              <w:jc w:val="left"/>
              <w:rPr/>
            </w:pPr>
            <w:r>
              <w:rPr/>
              <w:t xml:space="preserve">$ </w:t>
            </w:r>
            <w:r>
              <w:rPr>
                <w:spacing w:val="-10"/>
              </w:rPr>
              <w:t>*</w:t>
            </w:r>
          </w:p>
        </w:tc>
      </w:tr>
      <w:tr>
        <w:trPr/>
        <w:tc>
          <w:tcPr>
            <w:tcW w:w="5050" w:type="dxa"/>
            <w:tcBorders/>
            <w:vAlign w:val="center"/>
          </w:tcPr>
          <w:p>
            <w:pPr>
              <w:pStyle w:val="TableContents"/>
              <w:bidi w:val="0"/>
              <w:spacing w:before="0" w:after="283"/>
              <w:jc w:val="left"/>
              <w:rPr/>
            </w:pPr>
            <w:r>
              <w:rPr/>
              <w:t xml:space="preserve">Total </w:t>
            </w:r>
            <w:r>
              <w:rPr>
                <w:spacing w:val="-2"/>
              </w:rPr>
              <w:t>expenses</w:t>
            </w:r>
          </w:p>
        </w:tc>
        <w:tc>
          <w:tcPr>
            <w:tcW w:w="865" w:type="dxa"/>
            <w:tcBorders/>
            <w:vAlign w:val="center"/>
          </w:tcPr>
          <w:p>
            <w:pPr>
              <w:pStyle w:val="TableContents"/>
              <w:bidi w:val="0"/>
              <w:spacing w:before="0" w:after="283"/>
              <w:jc w:val="left"/>
              <w:rPr>
                <w:spacing w:val="-10"/>
              </w:rPr>
            </w:pPr>
            <w:r>
              <w:rPr>
                <w:spacing w:val="-10"/>
              </w:rPr>
              <w:t>$</w:t>
            </w:r>
          </w:p>
        </w:tc>
      </w:tr>
    </w:tbl>
    <w:p>
      <w:pPr>
        <w:pStyle w:val="TextBody"/>
        <w:bidi w:val="0"/>
        <w:spacing w:before="149" w:after="149"/>
        <w:ind w:left="149" w:right="149"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23"/>
        <w:gridCol w:w="10027"/>
      </w:tblGrid>
      <w:tr>
        <w:trPr/>
        <w:tc>
          <w:tcPr>
            <w:tcW w:w="155"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0027" w:type="dxa"/>
            <w:tcBorders/>
            <w:vAlign w:val="center"/>
          </w:tcPr>
          <w:p>
            <w:pPr>
              <w:pStyle w:val="TableContents"/>
              <w:bidi w:val="0"/>
              <w:spacing w:before="0" w:after="283"/>
              <w:jc w:val="both"/>
              <w:rPr/>
            </w:pPr>
            <w:r>
              <w:rPr/>
              <w:t>Estimated expenses are not presently known. The foregoing sets forth the general categories of expenses we expect we will incur in connection with the offering of securities under this registration statement. An estimate of the aggregate expenses in connection with the issuance and the distribution of the securities being offered will be included in the applicable prospectus supplement.</w:t>
            </w:r>
          </w:p>
        </w:tc>
      </w:tr>
    </w:tbl>
    <w:p>
      <w:pPr>
        <w:pStyle w:val="TextBody"/>
        <w:bidi w:val="0"/>
        <w:spacing w:before="118" w:after="118"/>
        <w:ind w:left="118" w:right="118"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672"/>
        <w:gridCol w:w="8458"/>
      </w:tblGrid>
      <w:tr>
        <w:trPr/>
        <w:tc>
          <w:tcPr>
            <w:tcW w:w="7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b/>
              </w:rPr>
            </w:pPr>
            <w:r>
              <w:rPr>
                <w:b/>
              </w:rPr>
              <w:t xml:space="preserve">Item </w:t>
            </w:r>
            <w:r>
              <w:rPr>
                <w:b/>
                <w:spacing w:val="-5"/>
              </w:rPr>
              <w:t>15.</w:t>
            </w:r>
          </w:p>
        </w:tc>
        <w:tc>
          <w:tcPr>
            <w:tcW w:w="8458" w:type="dxa"/>
            <w:tcBorders/>
            <w:vAlign w:val="center"/>
          </w:tcPr>
          <w:p>
            <w:pPr>
              <w:pStyle w:val="TableContents"/>
              <w:bidi w:val="0"/>
              <w:spacing w:before="0" w:after="283"/>
              <w:jc w:val="left"/>
              <w:rPr>
                <w:b/>
              </w:rPr>
            </w:pPr>
            <w:r>
              <w:rPr>
                <w:b/>
              </w:rPr>
              <w:t xml:space="preserve">Indemnification of Directors and </w:t>
            </w:r>
            <w:r>
              <w:rPr>
                <w:b/>
                <w:spacing w:val="-2"/>
              </w:rPr>
              <w:t>Officers.</w:t>
            </w:r>
          </w:p>
        </w:tc>
      </w:tr>
    </w:tbl>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DGCL permits a corporation to eliminate the personal liability of directors and officers of a corporation to the corporation or its stockholders for monetary damages for a breach of fiduciary duty as a director or officer, except where the director or officer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Charter provides that no director or officer of the Registrant shall be personally liable to it or its stockholders for monetary damages for any breach of fiduciary duty as a director or officer, notwithstanding any provision of law imposing such liability, except to the extent that the DGCL prohibits the elimination or limitation of liability of directors for breaches of fiduciary duty.</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w:t>
      </w:r>
      <w:r>
        <w:rPr>
          <w:rFonts w:ascii="Times New Roman;Times;Serif" w:hAnsi="Times New Roman;Times;Serif"/>
          <w:b w:val="false"/>
          <w:i w:val="false"/>
          <w:caps w:val="false"/>
          <w:smallCaps w:val="false"/>
          <w:spacing w:val="20"/>
          <w:sz w:val="20"/>
        </w:rPr>
        <w:t>p</w:t>
      </w:r>
      <w:r>
        <w:rPr>
          <w:rFonts w:ascii="Times New Roman;Times;Serif" w:hAnsi="Times New Roman;Times;Serif"/>
          <w:b w:val="false"/>
          <w:i w:val="false"/>
          <w:caps w:val="false"/>
          <w:smallCaps w:val="false"/>
          <w:sz w:val="20"/>
        </w:rPr>
        <w:t xml:space="preserve">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w:t>
      </w:r>
      <w:r>
        <w:rPr>
          <w:rFonts w:ascii="Times New Roman;Times;Serif" w:hAnsi="Times New Roman;Times;Serif"/>
          <w:b w:val="false"/>
          <w:i w:val="false"/>
          <w:caps w:val="false"/>
          <w:smallCaps w:val="false"/>
          <w:spacing w:val="-2"/>
          <w:sz w:val="20"/>
        </w:rPr>
        <w:t>proper.</w:t>
      </w:r>
    </w:p>
    <w:p>
      <w:pPr>
        <w:pStyle w:val="TextBody"/>
        <w:bidi w:val="0"/>
        <w:spacing w:before="13" w:after="13"/>
        <w:ind w:left="13" w:right="13"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pStyle w:val="TextBody"/>
        <w:bidi w:val="0"/>
        <w:spacing w:lineRule="auto" w:line="264"/>
        <w:ind w:left="0" w:right="0" w:firstLine="720"/>
        <w:jc w:val="left"/>
        <w:rPr>
          <w:caps w:val="false"/>
          <w:smallCaps w:val="false"/>
          <w:spacing w:val="18"/>
        </w:rPr>
      </w:pPr>
      <w:r>
        <w:rPr>
          <w:caps w:val="false"/>
          <w:smallCaps w:val="false"/>
          <w:spacing w:val="18"/>
        </w:rPr>
        <w:t> </w:t>
      </w:r>
    </w:p>
    <w:p>
      <w:pPr>
        <w:pStyle w:val="TextBody"/>
        <w:bidi w:val="0"/>
        <w:spacing w:lineRule="auto" w:line="264"/>
        <w:ind w:left="0" w:right="0" w:firstLine="720"/>
        <w:jc w:val="left"/>
        <w:rPr>
          <w:caps w:val="false"/>
          <w:smallCaps w:val="false"/>
          <w:spacing w:val="18"/>
        </w:rPr>
      </w:pPr>
      <w:r>
        <w:rPr>
          <w:caps w:val="false"/>
          <w:smallCaps w:val="false"/>
          <w:spacing w:val="18"/>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18"/>
        </w:rPr>
      </w:pPr>
      <w:r>
        <w:rPr>
          <w:caps w:val="false"/>
          <w:smallCaps w:val="false"/>
          <w:spacing w:val="18"/>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pStyle w:val="TextBody"/>
        <w:bidi w:val="0"/>
        <w:spacing w:lineRule="auto" w:line="264" w:before="69" w:after="69"/>
        <w:ind w:left="69" w:right="6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pStyle w:val="TextBody"/>
        <w:bidi w:val="0"/>
        <w:spacing w:lineRule="auto" w:line="264" w:before="1" w:after="1"/>
        <w:ind w:left="1" w:right="1"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pStyle w:val="TextBody"/>
        <w:bidi w:val="0"/>
        <w:spacing w:before="117" w:after="117"/>
        <w:ind w:left="117" w:right="117"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589"/>
        <w:gridCol w:w="8545"/>
      </w:tblGrid>
      <w:tr>
        <w:trPr/>
        <w:tc>
          <w:tcPr>
            <w:tcW w:w="7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b/>
              </w:rPr>
            </w:pPr>
            <w:r>
              <w:rPr>
                <w:b/>
              </w:rPr>
              <w:t xml:space="preserve">Item </w:t>
            </w:r>
            <w:r>
              <w:rPr>
                <w:b/>
                <w:spacing w:val="-5"/>
              </w:rPr>
              <w:t>16.</w:t>
            </w:r>
          </w:p>
        </w:tc>
        <w:tc>
          <w:tcPr>
            <w:tcW w:w="8545" w:type="dxa"/>
            <w:tcBorders/>
            <w:vAlign w:val="center"/>
          </w:tcPr>
          <w:p>
            <w:pPr>
              <w:pStyle w:val="TableContents"/>
              <w:bidi w:val="0"/>
              <w:spacing w:before="0" w:after="283"/>
              <w:jc w:val="left"/>
              <w:rPr>
                <w:b/>
              </w:rPr>
            </w:pPr>
            <w:r>
              <w:rPr>
                <w:b/>
              </w:rPr>
              <w:t xml:space="preserve">Exhibits and Financial Statement </w:t>
            </w:r>
            <w:r>
              <w:rPr>
                <w:b/>
                <w:spacing w:val="-2"/>
              </w:rPr>
              <w:t>Schedules.</w:t>
            </w:r>
          </w:p>
        </w:tc>
      </w:tr>
    </w:tbl>
    <w:p>
      <w:pPr>
        <w:pStyle w:val="TextBody"/>
        <w:bidi w:val="0"/>
        <w:spacing w:before="119" w:after="119"/>
        <w:ind w:left="11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(a)  </w:t>
      </w:r>
      <w:r>
        <w:rPr>
          <w:rFonts w:ascii="Times New Roman;Times;Serif" w:hAnsi="Times New Roman;Times;Serif"/>
          <w:b/>
          <w:i w:val="false"/>
          <w:caps w:val="false"/>
          <w:smallCaps w:val="false"/>
          <w:spacing w:val="-2"/>
          <w:sz w:val="20"/>
        </w:rPr>
        <w:t>Exhibits.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665"/>
        <w:gridCol w:w="7554"/>
        <w:gridCol w:w="523"/>
        <w:gridCol w:w="670"/>
        <w:gridCol w:w="793"/>
      </w:tblGrid>
      <w:tr>
        <w:trPr/>
        <w:tc>
          <w:tcPr>
            <w:tcW w:w="6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pacing w:val="0"/>
              </w:rPr>
            </w:pPr>
            <w:r>
              <w:rPr>
                <w:spacing w:val="0"/>
              </w:rPr>
              <w:t> </w:t>
            </w:r>
          </w:p>
        </w:tc>
        <w:tc>
          <w:tcPr>
            <w:tcW w:w="755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5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6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c>
          <w:tcPr>
            <w:tcW w:w="79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pacing w:val="0"/>
              </w:rPr>
            </w:pPr>
            <w:r>
              <w:rPr>
                <w:spacing w:val="0"/>
              </w:rPr>
              <w:t> </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1986" w:type="dxa"/>
            <w:gridSpan w:val="3"/>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b/>
                <w:spacing w:val="0"/>
                <w:sz w:val="20"/>
              </w:rPr>
            </w:pPr>
            <w:r>
              <w:rPr>
                <w:b/>
                <w:spacing w:val="0"/>
                <w:sz w:val="20"/>
              </w:rPr>
              <w:t>Incorporated by Reference</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10" w:after="10"/>
              <w:ind w:left="10" w:right="10" w:hanging="0"/>
              <w:jc w:val="left"/>
              <w:rPr>
                <w:caps w:val="false"/>
                <w:smallCaps w:val="false"/>
                <w:spacing w:val="0"/>
              </w:rPr>
            </w:pPr>
            <w:r>
              <w:rPr>
                <w:caps w:val="false"/>
                <w:smallCaps w:val="false"/>
                <w:spacing w:val="0"/>
              </w:rPr>
              <w:t> </w:t>
            </w:r>
          </w:p>
          <w:p>
            <w:pPr>
              <w:pStyle w:val="TableContents"/>
              <w:bidi w:val="0"/>
              <w:spacing w:lineRule="atLeast" w:line="142" w:before="0" w:after="283"/>
              <w:jc w:val="righ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Exhibit</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44" w:right="10" w:hanging="0"/>
              <w:jc w:val="left"/>
              <w:rPr>
                <w:caps w:val="false"/>
                <w:smallCaps w:val="false"/>
                <w:spacing w:val="0"/>
              </w:rPr>
            </w:pPr>
            <w:r>
              <w:rPr>
                <w:caps w:val="false"/>
                <w:smallCaps w:val="false"/>
                <w:spacing w:val="0"/>
              </w:rPr>
              <w:t> </w:t>
            </w:r>
          </w:p>
          <w:p>
            <w:pPr>
              <w:pStyle w:val="TableContents"/>
              <w:bidi w:val="0"/>
              <w:spacing w:lineRule="atLeast" w:line="142" w:before="0" w:after="283"/>
              <w:ind w:left="144" w:right="0"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Description</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0" w:right="10" w:hanging="0"/>
              <w:jc w:val="center"/>
              <w:rPr>
                <w:caps w:val="false"/>
                <w:smallCaps w:val="false"/>
                <w:spacing w:val="0"/>
              </w:rPr>
            </w:pPr>
            <w:r>
              <w:rPr>
                <w:caps w:val="false"/>
                <w:smallCaps w:val="false"/>
                <w:spacing w:val="0"/>
              </w:rPr>
              <w:t> </w:t>
            </w:r>
          </w:p>
          <w:p>
            <w:pPr>
              <w:pStyle w:val="TableContents"/>
              <w:bidi w:val="0"/>
              <w:spacing w:lineRule="atLeast" w:line="142"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Form</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10" w:after="10"/>
              <w:ind w:left="10" w:right="10" w:hanging="0"/>
              <w:jc w:val="center"/>
              <w:rPr>
                <w:caps w:val="false"/>
                <w:smallCaps w:val="false"/>
                <w:spacing w:val="0"/>
              </w:rPr>
            </w:pPr>
            <w:r>
              <w:rPr>
                <w:caps w:val="false"/>
                <w:smallCaps w:val="false"/>
                <w:spacing w:val="0"/>
              </w:rPr>
              <w:t> </w:t>
            </w:r>
          </w:p>
          <w:p>
            <w:pPr>
              <w:pStyle w:val="TableContents"/>
              <w:bidi w:val="0"/>
              <w:spacing w:lineRule="atLeast" w:line="142" w:before="0" w:after="283"/>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Exhibit</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60"/>
              <w:jc w:val="center"/>
              <w:rPr>
                <w:b/>
                <w:spacing w:val="0"/>
                <w:sz w:val="20"/>
              </w:rPr>
            </w:pPr>
            <w:r>
              <w:rPr>
                <w:b/>
                <w:spacing w:val="0"/>
                <w:sz w:val="20"/>
              </w:rPr>
              <w:t>Filing</w:t>
            </w:r>
          </w:p>
          <w:p>
            <w:pPr>
              <w:pStyle w:val="TableContents"/>
              <w:bidi w:val="0"/>
              <w:spacing w:lineRule="atLeast" w:line="160" w:before="0" w:after="283"/>
              <w:jc w:val="center"/>
              <w:rPr>
                <w:b/>
                <w:spacing w:val="0"/>
                <w:sz w:val="20"/>
              </w:rPr>
            </w:pPr>
            <w:r>
              <w:rPr>
                <w:b/>
                <w:spacing w:val="0"/>
                <w:sz w:val="20"/>
              </w:rPr>
              <w:t>Date</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1.1*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Underwriting Agreement</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spacing w:val="0"/>
                <w:sz w:val="20"/>
              </w:rPr>
            </w:pPr>
            <w:r>
              <w:rPr>
                <w:spacing w:val="0"/>
                <w:sz w:val="20"/>
              </w:rPr>
              <w:t>2.1†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Merger Agreement, dated as of February 17, 2021, by and among the Company, Merger Sub and AEye Technologies</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S-4</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2.1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5/13/2021</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spacing w:val="0"/>
                <w:sz w:val="20"/>
              </w:rPr>
            </w:pPr>
            <w:r>
              <w:rPr>
                <w:spacing w:val="0"/>
                <w:sz w:val="20"/>
              </w:rPr>
              <w:t>2.2†</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Amendment to the Merger Agreement, dated as of April 30, 2021, by and among the Company, Merger Sub and AEye Technologies</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S-4</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2.2</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5/13/2021</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3.1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1">
              <w:r>
                <w:rPr>
                  <w:rStyle w:val="InternetLink"/>
                  <w:spacing w:val="0"/>
                  <w:sz w:val="20"/>
                </w:rPr>
                <w:t>Second Amended and Restated Certificate of Incorporation of AEye, Inc.</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3.1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8/23/2021</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3.2</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2">
              <w:r>
                <w:rPr>
                  <w:rStyle w:val="InternetLink"/>
                  <w:spacing w:val="0"/>
                  <w:sz w:val="20"/>
                </w:rPr>
                <w:t>Certificate of Amendment of the Second Amended and Restated Certificate of Incorporation of AEye, Inc.</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10-Q</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3.2</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5/11/2023</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3.3</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3">
              <w:r>
                <w:rPr>
                  <w:rStyle w:val="InternetLink"/>
                  <w:spacing w:val="0"/>
                  <w:sz w:val="20"/>
                </w:rPr>
                <w:t>Certificate of Amendment of the Second Amended and Restated Certificate of Incorporation of AEye, Inc., as amended, filed on December 26, 2023.</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3.1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12/29/2023</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3.4</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4">
              <w:r>
                <w:rPr>
                  <w:rStyle w:val="InternetLink"/>
                  <w:spacing w:val="0"/>
                  <w:sz w:val="20"/>
                </w:rPr>
                <w:t>Amended and Restated Bylaws of AEye, Inc.</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3.1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03/07/2025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spacing w:val="0"/>
                <w:sz w:val="20"/>
              </w:rPr>
            </w:pPr>
            <w:r>
              <w:rPr>
                <w:spacing w:val="0"/>
                <w:sz w:val="20"/>
              </w:rPr>
              <w:t>4.1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5">
              <w:r>
                <w:rPr>
                  <w:rStyle w:val="InternetLink"/>
                  <w:spacing w:val="0"/>
                  <w:sz w:val="20"/>
                </w:rPr>
                <w:t>Registration Rights Agreement by and between AEye, Inc. and Tumim Stone Capital LLC, dated December 8, 2021</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8-K/A</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spacing w:val="0"/>
                <w:sz w:val="20"/>
              </w:rPr>
            </w:pPr>
            <w:r>
              <w:rPr>
                <w:spacing w:val="0"/>
                <w:sz w:val="20"/>
              </w:rPr>
              <w:t>4.1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sz w:val="20"/>
              </w:rPr>
            </w:pPr>
            <w:r>
              <w:rPr>
                <w:spacing w:val="0"/>
                <w:sz w:val="20"/>
              </w:rPr>
              <w:t>12/15/2021</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4.2</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6">
              <w:r>
                <w:rPr>
                  <w:rStyle w:val="InternetLink"/>
                  <w:spacing w:val="0"/>
                  <w:sz w:val="20"/>
                </w:rPr>
                <w:t>Registration Rights Agreement, by and between AEye, Inc. and New Circle Principal Investment LLC, dated July 25, 2024</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07/29/2024</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4.3</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7">
              <w:r>
                <w:rPr>
                  <w:rStyle w:val="InternetLink"/>
                  <w:spacing w:val="0"/>
                  <w:sz w:val="20"/>
                </w:rPr>
                <w:t>Registration Rights Agreement by and between AEye, Inc. and the purchaser named in the signature pages thereto, dated January 2, 2025</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10.2</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4.4</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8">
              <w:r>
                <w:rPr>
                  <w:rStyle w:val="InternetLink"/>
                  <w:spacing w:val="0"/>
                  <w:sz w:val="20"/>
                </w:rPr>
                <w:t>Form of Senior Unsecured Convertible Promissory Note to be issued by the Company pursuant to and in accordance with the Securities Purchase Agreement, dated January 2, 2025</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4.1</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4.5</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19">
              <w:r>
                <w:rPr>
                  <w:rStyle w:val="InternetLink"/>
                  <w:spacing w:val="0"/>
                  <w:sz w:val="20"/>
                </w:rPr>
                <w:t>Form of Common Stock Purchase Warrant to be issued by the Company pursuant to and in accordance with the Securities Purchase Agreement, dated January 2, 2025</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8-K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4.2</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01/03/2025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4.6</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20">
              <w:r>
                <w:rPr>
                  <w:rStyle w:val="InternetLink"/>
                  <w:spacing w:val="0"/>
                  <w:sz w:val="20"/>
                </w:rPr>
                <w:t>Description of Securities Registered under Section 12 of the Securities Exchange Act of 1934.</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10-K</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4.5</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03/28/2022</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4.7</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21">
              <w:r>
                <w:rPr>
                  <w:rStyle w:val="InternetLink"/>
                  <w:spacing w:val="0"/>
                  <w:sz w:val="20"/>
                </w:rPr>
                <w:t>Warrants Agreement between AEye, Inc. and IGEP Park Place, LLC, dated May 23, 2025</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S-3</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4.4</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08/11/2025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4.8</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r:id="rId22">
              <w:r>
                <w:rPr>
                  <w:rStyle w:val="InternetLink"/>
                  <w:spacing w:val="0"/>
                  <w:sz w:val="20"/>
                </w:rPr>
                <w:t>Warrant to Purchase Common Stock, dated August 8, 2025</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S-3</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right"/>
              <w:rPr>
                <w:spacing w:val="0"/>
                <w:sz w:val="20"/>
              </w:rPr>
            </w:pPr>
            <w:r>
              <w:rPr>
                <w:spacing w:val="0"/>
                <w:sz w:val="20"/>
              </w:rPr>
              <w:t>4.5</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center"/>
              <w:rPr>
                <w:spacing w:val="0"/>
                <w:sz w:val="20"/>
              </w:rPr>
            </w:pPr>
            <w:r>
              <w:rPr>
                <w:spacing w:val="0"/>
                <w:sz w:val="20"/>
              </w:rPr>
              <w:t>08/11/2025</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4.9*</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Certificate of Designation of Preferred Stock</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4.10*</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Warrant Agreement and Warrant Certificate</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4.11*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Rights Agreement</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4.12*</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Form of Unit Agreement and Unit Certificate</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4.13#</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0413.htm">
              <w:r>
                <w:rPr>
                  <w:rStyle w:val="InternetLink"/>
                  <w:spacing w:val="0"/>
                  <w:sz w:val="20"/>
                </w:rPr>
                <w:t>Form of Indenture for Senior Debt Securities</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4.14#</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0414.htm">
              <w:r>
                <w:rPr>
                  <w:rStyle w:val="InternetLink"/>
                  <w:spacing w:val="0"/>
                  <w:sz w:val="20"/>
                </w:rPr>
                <w:t>Form of Indenture for Subordinated Debt Securities</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5.1#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0501.htm">
              <w:r>
                <w:rPr>
                  <w:rStyle w:val="InternetLink"/>
                  <w:spacing w:val="0"/>
                  <w:sz w:val="20"/>
                </w:rPr>
                <w:t>Opinion of Allen Overy Shearman Sterling US LLP</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23.1#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2301.htm">
              <w:r>
                <w:rPr>
                  <w:rStyle w:val="InternetLink"/>
                  <w:spacing w:val="0"/>
                  <w:sz w:val="20"/>
                </w:rPr>
                <w:t>Consent of KPMG LLP (with respect to AEye, Inc. financial statements)</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23.2#</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0501.htm">
              <w:r>
                <w:rPr>
                  <w:rStyle w:val="InternetLink"/>
                  <w:spacing w:val="0"/>
                  <w:sz w:val="20"/>
                </w:rPr>
                <w:t>Consent of Allen Overy Shearman Sterling US LLP (included in Exhibit 5.1)</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24.1#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poa">
              <w:r>
                <w:rPr>
                  <w:rStyle w:val="InternetLink"/>
                  <w:spacing w:val="0"/>
                  <w:sz w:val="20"/>
                </w:rPr>
                <w:t>Power of Attorney (included on the signature page hereto)</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25.1^</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spacing w:val="0"/>
                <w:sz w:val="20"/>
              </w:rPr>
            </w:pPr>
            <w:r>
              <w:rPr>
                <w:spacing w:val="0"/>
                <w:sz w:val="20"/>
              </w:rPr>
              <w:t>Statement of Eligibility on Form T-1 under the Trust Indenture Act of 1939 of Debt Trustee</w:t>
            </w:r>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r>
      <w:tr>
        <w:trPr/>
        <w:tc>
          <w:tcPr>
            <w:tcW w:w="6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47" w:before="0" w:after="283"/>
              <w:jc w:val="right"/>
              <w:rPr>
                <w:spacing w:val="0"/>
                <w:sz w:val="20"/>
              </w:rPr>
            </w:pPr>
            <w:r>
              <w:rPr>
                <w:spacing w:val="0"/>
                <w:sz w:val="20"/>
              </w:rPr>
              <w:t>107#</w:t>
            </w:r>
          </w:p>
        </w:tc>
        <w:tc>
          <w:tcPr>
            <w:tcW w:w="7554" w:type="dxa"/>
            <w:tcBorders>
              <w:bottom w:val="single" w:sz="8" w:space="0" w:color="000000"/>
              <w:right w:val="single" w:sz="8" w:space="0" w:color="000000"/>
            </w:tcBorders>
            <w:tcMar>
              <w:top w:w="0" w:type="dxa"/>
              <w:left w:w="0" w:type="dxa"/>
            </w:tcMar>
            <w:vAlign w:val="center"/>
          </w:tcPr>
          <w:p>
            <w:pPr>
              <w:pStyle w:val="TableContents"/>
              <w:bidi w:val="0"/>
              <w:spacing w:lineRule="atLeast" w:line="147" w:before="0" w:after="283"/>
              <w:jc w:val="left"/>
              <w:rPr/>
            </w:pPr>
            <w:hyperlink w:anchor="ss6342442_ex107.htm">
              <w:r>
                <w:rPr>
                  <w:rStyle w:val="InternetLink"/>
                  <w:spacing w:val="0"/>
                  <w:sz w:val="20"/>
                </w:rPr>
                <w:t>Filing Fee Table</w:t>
              </w:r>
            </w:hyperlink>
          </w:p>
        </w:tc>
        <w:tc>
          <w:tcPr>
            <w:tcW w:w="5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rPr>
            </w:pPr>
            <w:r>
              <w:rPr>
                <w:spacing w:val="0"/>
              </w:rPr>
              <w:t> </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rPr>
            </w:pPr>
            <w:r>
              <w:rPr>
                <w:spacing w:val="0"/>
              </w:rPr>
              <w:t> </w:t>
            </w:r>
          </w:p>
        </w:tc>
        <w:tc>
          <w:tcPr>
            <w:tcW w:w="7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pacing w:val="0"/>
              </w:rPr>
            </w:pPr>
            <w:r>
              <w:rPr>
                <w:spacing w:val="0"/>
              </w:rPr>
              <w:t> </w:t>
            </w:r>
          </w:p>
        </w:tc>
      </w:tr>
    </w:tbl>
    <w:p>
      <w:pPr>
        <w:pStyle w:val="TextBody"/>
        <w:bidi w:val="0"/>
        <w:spacing w:before="158" w:after="158"/>
        <w:ind w:left="158" w:right="158" w:hanging="0"/>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Certain exhibits and schedules to this Exhibit have been omitted in accordance with Regulation S-K Item 601(a)(5), which the Registrant agrees to furnish supplementally to the SEC upon its request.</w:t>
      </w:r>
    </w:p>
    <w:p>
      <w:pPr>
        <w:pStyle w:val="TextBody"/>
        <w:bidi w:val="0"/>
        <w:spacing w:lineRule="atLeast" w:line="16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Filed </w:t>
      </w:r>
      <w:r>
        <w:rPr>
          <w:rFonts w:ascii="Times New Roman;Times;Serif" w:hAnsi="Times New Roman;Times;Serif"/>
          <w:b w:val="false"/>
          <w:i w:val="false"/>
          <w:caps w:val="false"/>
          <w:smallCaps w:val="false"/>
          <w:spacing w:val="-2"/>
          <w:sz w:val="16"/>
        </w:rPr>
        <w:t>herewith.</w:t>
      </w:r>
    </w:p>
    <w:p>
      <w:pPr>
        <w:pStyle w:val="TextBody"/>
        <w:bidi w:val="0"/>
        <w:spacing w:before="16" w:after="16"/>
        <w:ind w:left="16" w:right="16"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To be filed as an amendment or as an exhibit to a document filed under the Exchange Act and incorporated by reference into this registration </w:t>
      </w:r>
      <w:r>
        <w:rPr>
          <w:rFonts w:ascii="Times New Roman;Times;Serif" w:hAnsi="Times New Roman;Times;Serif"/>
          <w:b w:val="false"/>
          <w:i w:val="false"/>
          <w:caps w:val="false"/>
          <w:smallCaps w:val="false"/>
          <w:spacing w:val="-2"/>
          <w:sz w:val="16"/>
        </w:rPr>
        <w:t>statement.</w:t>
      </w:r>
    </w:p>
    <w:p>
      <w:pPr>
        <w:pStyle w:val="TextBody"/>
        <w:bidi w:val="0"/>
        <w:spacing w:before="16" w:after="16"/>
        <w:ind w:left="16" w:right="16"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To be filed, if necessary, separately under the electronic form type 305B2 pursuant to Section 305(B)(2) of the Trust Indenture Act of 1939, as </w:t>
      </w:r>
      <w:r>
        <w:rPr>
          <w:rFonts w:ascii="Times New Roman;Times;Serif" w:hAnsi="Times New Roman;Times;Serif"/>
          <w:b w:val="false"/>
          <w:i w:val="false"/>
          <w:caps w:val="false"/>
          <w:smallCaps w:val="false"/>
          <w:spacing w:val="-2"/>
          <w:sz w:val="16"/>
        </w:rPr>
        <w:t>amended.</w:t>
      </w:r>
    </w:p>
    <w:p>
      <w:pPr>
        <w:pStyle w:val="TextBody"/>
        <w:bidi w:val="0"/>
        <w:jc w:val="left"/>
        <w:rPr>
          <w:caps w:val="false"/>
          <w:smallCaps w:val="false"/>
        </w:rPr>
      </w:pPr>
      <w:r>
        <w:rPr>
          <w:caps w:val="false"/>
          <w:smallCaps w:val="false"/>
        </w:rPr>
        <w:t> </w:t>
      </w:r>
    </w:p>
    <w:p>
      <w:pPr>
        <w:pStyle w:val="TextBody"/>
        <w:bidi w:val="0"/>
        <w:spacing w:before="69" w:after="69"/>
        <w:ind w:left="69" w:right="6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(b)  </w:t>
      </w:r>
      <w:r>
        <w:rPr>
          <w:rFonts w:ascii="Times New Roman;Times;Serif" w:hAnsi="Times New Roman;Times;Serif"/>
          <w:b/>
          <w:i w:val="false"/>
          <w:caps w:val="false"/>
          <w:smallCaps w:val="false"/>
          <w:sz w:val="20"/>
        </w:rPr>
        <w:t xml:space="preserve">Financial Statement </w:t>
      </w:r>
      <w:r>
        <w:rPr>
          <w:rFonts w:ascii="Times New Roman;Times;Serif" w:hAnsi="Times New Roman;Times;Serif"/>
          <w:b/>
          <w:i w:val="false"/>
          <w:caps w:val="false"/>
          <w:smallCaps w:val="false"/>
          <w:spacing w:val="-2"/>
          <w:sz w:val="20"/>
        </w:rPr>
        <w:t>Schedules.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not listed above have been omitted because the information required to be set forth therein is not applicable or is shown in the financial statements or notes thereto.</w:t>
      </w:r>
    </w:p>
    <w:p>
      <w:pPr>
        <w:pStyle w:val="TextBody"/>
        <w:bidi w:val="0"/>
        <w:spacing w:before="118" w:after="118"/>
        <w:ind w:left="118" w:right="118"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3657"/>
        <w:gridCol w:w="6383"/>
      </w:tblGrid>
      <w:tr>
        <w:trPr/>
        <w:tc>
          <w:tcPr>
            <w:tcW w:w="165"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b/>
              </w:rPr>
            </w:pPr>
            <w:r>
              <w:rPr>
                <w:b/>
              </w:rPr>
              <w:t xml:space="preserve">Item </w:t>
            </w:r>
            <w:r>
              <w:rPr>
                <w:b/>
                <w:spacing w:val="-5"/>
              </w:rPr>
              <w:t>17.</w:t>
            </w:r>
          </w:p>
        </w:tc>
        <w:tc>
          <w:tcPr>
            <w:tcW w:w="6383" w:type="dxa"/>
            <w:tcBorders/>
            <w:vAlign w:val="center"/>
          </w:tcPr>
          <w:p>
            <w:pPr>
              <w:pStyle w:val="TableContents"/>
              <w:bidi w:val="0"/>
              <w:spacing w:before="0" w:after="283"/>
              <w:jc w:val="left"/>
              <w:rPr>
                <w:b/>
                <w:spacing w:val="-2"/>
              </w:rPr>
            </w:pPr>
            <w:r>
              <w:rPr>
                <w:b/>
                <w:spacing w:val="-2"/>
              </w:rPr>
              <w:t>Undertakings.</w:t>
            </w:r>
          </w:p>
        </w:tc>
      </w:tr>
    </w:tbl>
    <w:p>
      <w:pPr>
        <w:pStyle w:val="TextBody"/>
        <w:bidi w:val="0"/>
        <w:spacing w:before="119" w:after="119"/>
        <w:ind w:left="11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undersigned registrant hereby </w:t>
      </w:r>
      <w:r>
        <w:rPr>
          <w:rFonts w:ascii="Times New Roman;Times;Serif" w:hAnsi="Times New Roman;Times;Serif"/>
          <w:b w:val="false"/>
          <w:i w:val="false"/>
          <w:caps w:val="false"/>
          <w:smallCaps w:val="false"/>
          <w:spacing w:val="-2"/>
          <w:sz w:val="20"/>
        </w:rPr>
        <w:t>undertakes:</w:t>
      </w:r>
    </w:p>
    <w:p>
      <w:pPr>
        <w:pStyle w:val="TextBody"/>
        <w:bidi w:val="0"/>
        <w:spacing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file, during any period in which offers or sales are being made, a post-effective amendment to this registration </w:t>
      </w:r>
      <w:r>
        <w:rPr>
          <w:rFonts w:ascii="Times New Roman;Times;Serif" w:hAnsi="Times New Roman;Times;Serif"/>
          <w:b w:val="false"/>
          <w:i w:val="false"/>
          <w:caps w:val="false"/>
          <w:smallCaps w:val="false"/>
          <w:spacing w:val="-2"/>
          <w:sz w:val="20"/>
        </w:rPr>
        <w:t>statement:</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lineRule="auto" w:line="264"/>
        <w:ind w:left="0" w:right="0" w:firstLine="144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64"/>
        <w:ind w:left="0" w:right="0" w:firstLine="1440"/>
        <w:jc w:val="left"/>
        <w:rPr>
          <w:caps w:val="false"/>
          <w:smallCaps w:val="false"/>
        </w:rPr>
      </w:pPr>
      <w:r>
        <w:rPr>
          <w:caps w:val="false"/>
          <w:smallCaps w:val="false"/>
        </w:rPr>
        <w:t> </w:t>
      </w:r>
    </w:p>
    <w:p>
      <w:pPr>
        <w:pStyle w:val="TextBody"/>
        <w:bidi w:val="0"/>
        <w:spacing w:lineRule="auto" w:line="264"/>
        <w:ind w:left="0" w:right="0" w:firstLine="144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provided, however,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that, for the purpose of determining liability under the Securities Act to any </w:t>
      </w:r>
      <w:r>
        <w:rPr>
          <w:rFonts w:ascii="Times New Roman;Times;Serif" w:hAnsi="Times New Roman;Times;Serif"/>
          <w:b w:val="false"/>
          <w:i w:val="false"/>
          <w:caps w:val="false"/>
          <w:smallCaps w:val="false"/>
          <w:spacing w:val="-2"/>
          <w:sz w:val="20"/>
        </w:rPr>
        <w:t>purchaser:</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64"/>
        <w:ind w:left="0" w:right="0" w:firstLine="144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Provided, however, that no statement made in a registration statement or prospectus that is part of the registration statement or made in a document incorporated or deemed incorporated by reference in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14" w:after="14"/>
        <w:ind w:left="14" w:right="14"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ind w:left="0" w:right="0" w:firstLine="72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preliminary prospectus or prospectus of the undersigned registrant relating to the offering required to be filed pursuant </w:t>
      </w:r>
      <w:r>
        <w:rPr>
          <w:rFonts w:ascii="Times New Roman;Times;Serif" w:hAnsi="Times New Roman;Times;Serif"/>
          <w:b w:val="false"/>
          <w:i w:val="false"/>
          <w:caps w:val="false"/>
          <w:smallCaps w:val="false"/>
          <w:spacing w:val="-5"/>
          <w:sz w:val="20"/>
        </w:rPr>
        <w:t xml:space="preserve">to </w:t>
      </w:r>
      <w:r>
        <w:rPr>
          <w:rFonts w:ascii="Times New Roman;Times;Serif" w:hAnsi="Times New Roman;Times;Serif"/>
          <w:b w:val="false"/>
          <w:i w:val="false"/>
          <w:caps w:val="false"/>
          <w:smallCaps w:val="false"/>
          <w:spacing w:val="18"/>
          <w:sz w:val="20"/>
        </w:rPr>
        <w:t>Rule 424;</w:t>
      </w:r>
    </w:p>
    <w:p>
      <w:pPr>
        <w:pStyle w:val="TextBody"/>
        <w:bidi w:val="0"/>
        <w:spacing w:lineRule="auto" w:line="264"/>
        <w:ind w:left="0" w:right="0" w:firstLine="1440"/>
        <w:jc w:val="left"/>
        <w:rPr>
          <w:caps w:val="false"/>
          <w:smallCaps w:val="false"/>
          <w:spacing w:val="18"/>
        </w:rPr>
      </w:pPr>
      <w:r>
        <w:rPr>
          <w:caps w:val="false"/>
          <w:smallCaps w:val="false"/>
          <w:spacing w:val="18"/>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8"/>
          <w:sz w:val="20"/>
        </w:rPr>
        <w:t>(ii)  any free</w:t>
      </w:r>
      <w:r>
        <w:rPr>
          <w:rFonts w:ascii="Times New Roman;Times;Serif" w:hAnsi="Times New Roman;Times;Serif"/>
          <w:b w:val="false"/>
          <w:i w:val="false"/>
          <w:caps w:val="false"/>
          <w:smallCaps w:val="false"/>
          <w:sz w:val="20"/>
        </w:rPr>
        <w:t xml:space="preserve"> writing prospectus relating to the offering prepared by or on behalf of the undersigned registrant or used or referred to by the undersigned registrant;</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an undersigned registrant; and</w:t>
      </w:r>
    </w:p>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other communication that is an offer in the offering made by the undersigned registrant to the </w:t>
      </w:r>
      <w:r>
        <w:rPr>
          <w:rFonts w:ascii="Times New Roman;Times;Serif" w:hAnsi="Times New Roman;Times;Serif"/>
          <w:b w:val="false"/>
          <w:i w:val="false"/>
          <w:caps w:val="false"/>
          <w:smallCaps w:val="false"/>
          <w:spacing w:val="-2"/>
          <w:sz w:val="20"/>
        </w:rPr>
        <w:t>purchaser.</w:t>
      </w:r>
    </w:p>
    <w:p>
      <w:pPr>
        <w:pStyle w:val="TextBody"/>
        <w:bidi w:val="0"/>
        <w:spacing w:before="36" w:after="36"/>
        <w:ind w:left="36" w:right="36" w:firstLine="720"/>
        <w:jc w:val="left"/>
        <w:rPr>
          <w:caps w:val="false"/>
          <w:smallCaps w:val="false"/>
        </w:rPr>
      </w:pPr>
      <w:r>
        <w:rPr>
          <w:caps w:val="false"/>
          <w:smallCaps w:val="false"/>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lineRule="auto" w:line="264" w:before="1" w:after="1"/>
        <w:ind w:left="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14" w:after="14"/>
        <w:ind w:left="14" w:right="14" w:hanging="0"/>
        <w:jc w:val="left"/>
        <w:rPr>
          <w:caps w:val="false"/>
          <w:smallCaps w:val="false"/>
        </w:rPr>
      </w:pPr>
      <w:r>
        <w:rPr>
          <w:caps w:val="false"/>
          <w:smallCaps w:val="false"/>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(“Act”) in accordance with the rules and regulations prescribed by the SEC under section 305(b)(2) of the Act.</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SIGNATURES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hereunto duly authorized, in Pleasanton, California, on this 19th day of May,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03" w:after="103"/>
        <w:ind w:left="103" w:right="103"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1882775" cy="1980565"/>
                <wp:effectExtent l="0" t="0" r="0" b="0"/>
                <wp:wrapSquare wrapText="left"/>
                <wp:docPr id="3" name="Frame1"/>
                <a:graphic xmlns:a="http://schemas.openxmlformats.org/drawingml/2006/main">
                  <a:graphicData uri="http://schemas.microsoft.com/office/word/2010/wordprocessingShape">
                    <wps:wsp>
                      <wps:cNvSpPr txBox="1"/>
                      <wps:spPr>
                        <a:xfrm>
                          <a:off x="0" y="0"/>
                          <a:ext cx="1882775" cy="1980565"/>
                        </a:xfrm>
                        <a:prstGeom prst="rect"/>
                        <a:solidFill>
                          <a:srgbClr val="FFFFFF"/>
                        </a:solidFill>
                      </wps:spPr>
                      <wps:txbx>
                        <w:txbxContent>
                          <w:tbl>
                            <w:tblPr>
                              <w:tblW w:w="2965" w:type="dxa"/>
                              <w:jc w:val="left"/>
                              <w:tblInd w:w="0" w:type="dxa"/>
                              <w:tblLayout w:type="fixed"/>
                              <w:tblCellMar>
                                <w:top w:w="0" w:type="dxa"/>
                                <w:left w:w="0" w:type="dxa"/>
                                <w:bottom w:w="0" w:type="dxa"/>
                                <w:right w:w="0" w:type="dxa"/>
                              </w:tblCellMar>
                            </w:tblPr>
                            <w:tblGrid>
                              <w:gridCol w:w="665"/>
                              <w:gridCol w:w="2300"/>
                            </w:tblGrid>
                            <w:tr>
                              <w:trPr/>
                              <w:tc>
                                <w:tcPr>
                                  <w:tcW w:w="2965" w:type="dxa"/>
                                  <w:gridSpan w:val="2"/>
                                  <w:tcBorders/>
                                  <w:vAlign w:val="center"/>
                                </w:tcPr>
                                <w:p>
                                  <w:pPr>
                                    <w:pStyle w:val="TableContents"/>
                                    <w:bidi w:val="0"/>
                                    <w:jc w:val="left"/>
                                    <w:rPr/>
                                  </w:pPr>
                                  <w:r>
                                    <w:rPr>
                                      <w:b/>
                                      <w:spacing w:val="-8"/>
                                      <w:sz w:val="20"/>
                                    </w:rPr>
                                    <w:t>AEYE,</w:t>
                                  </w:r>
                                  <w:r>
                                    <w:rPr/>
                                    <w:t xml:space="preserve"> </w:t>
                                  </w:r>
                                  <w:r>
                                    <w:rPr>
                                      <w:b/>
                                      <w:spacing w:val="-4"/>
                                      <w:sz w:val="20"/>
                                    </w:rPr>
                                    <w:t>INC.</w:t>
                                  </w:r>
                                </w:p>
                                <w:p>
                                  <w:pPr>
                                    <w:pStyle w:val="TableContents"/>
                                    <w:bidi w:val="0"/>
                                    <w:spacing w:before="0" w:after="283"/>
                                    <w:jc w:val="left"/>
                                    <w:rPr>
                                      <w:spacing w:val="-4"/>
                                    </w:rPr>
                                  </w:pPr>
                                  <w:r>
                                    <w:rPr>
                                      <w:spacing w:val="-4"/>
                                    </w:rPr>
                                    <w:t> </w:t>
                                  </w:r>
                                </w:p>
                              </w:tc>
                            </w:tr>
                            <w:tr>
                              <w:trPr/>
                              <w:tc>
                                <w:tcPr>
                                  <w:tcW w:w="665"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Matthew Fisch</w:t>
                                  </w:r>
                                </w:p>
                              </w:tc>
                            </w:tr>
                            <w:tr>
                              <w:trPr/>
                              <w:tc>
                                <w:tcPr>
                                  <w:tcW w:w="665"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Matthew Fisch</w:t>
                                  </w:r>
                                </w:p>
                              </w:tc>
                            </w:tr>
                            <w:tr>
                              <w:trPr/>
                              <w:tc>
                                <w:tcPr>
                                  <w:tcW w:w="665"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txbxContent>
                      </wps:txbx>
                      <wps:bodyPr anchor="t" lIns="0" tIns="0" rIns="0" bIns="0">
                        <a:noAutofit/>
                      </wps:bodyPr>
                    </wps:wsp>
                  </a:graphicData>
                </a:graphic>
              </wp:anchor>
            </w:drawing>
          </mc:Choice>
          <mc:Fallback>
            <w:pict>
              <v:rect style="position:absolute;rotation:-0;width:148.25pt;height:155.95pt;mso-wrap-distance-left:0pt;mso-wrap-distance-right:0pt;mso-wrap-distance-top:0pt;mso-wrap-distance-bottom:0pt;margin-top:0pt;mso-position-vertical:top;mso-position-vertical-relative:text;margin-left:362pt;mso-position-horizontal:right;mso-position-horizontal-relative:text">
                <v:textbox>
                  <w:txbxContent>
                    <w:tbl>
                      <w:tblPr>
                        <w:tblW w:w="2965" w:type="dxa"/>
                        <w:jc w:val="left"/>
                        <w:tblInd w:w="0" w:type="dxa"/>
                        <w:tblLayout w:type="fixed"/>
                        <w:tblCellMar>
                          <w:top w:w="0" w:type="dxa"/>
                          <w:left w:w="0" w:type="dxa"/>
                          <w:bottom w:w="0" w:type="dxa"/>
                          <w:right w:w="0" w:type="dxa"/>
                        </w:tblCellMar>
                      </w:tblPr>
                      <w:tblGrid>
                        <w:gridCol w:w="665"/>
                        <w:gridCol w:w="2300"/>
                      </w:tblGrid>
                      <w:tr>
                        <w:trPr/>
                        <w:tc>
                          <w:tcPr>
                            <w:tcW w:w="2965" w:type="dxa"/>
                            <w:gridSpan w:val="2"/>
                            <w:tcBorders/>
                            <w:vAlign w:val="center"/>
                          </w:tcPr>
                          <w:p>
                            <w:pPr>
                              <w:pStyle w:val="TableContents"/>
                              <w:bidi w:val="0"/>
                              <w:jc w:val="left"/>
                              <w:rPr/>
                            </w:pPr>
                            <w:r>
                              <w:rPr>
                                <w:b/>
                                <w:spacing w:val="-8"/>
                                <w:sz w:val="20"/>
                              </w:rPr>
                              <w:t>AEYE,</w:t>
                            </w:r>
                            <w:r>
                              <w:rPr/>
                              <w:t xml:space="preserve"> </w:t>
                            </w:r>
                            <w:r>
                              <w:rPr>
                                <w:b/>
                                <w:spacing w:val="-4"/>
                                <w:sz w:val="20"/>
                              </w:rPr>
                              <w:t>INC.</w:t>
                            </w:r>
                          </w:p>
                          <w:p>
                            <w:pPr>
                              <w:pStyle w:val="TableContents"/>
                              <w:bidi w:val="0"/>
                              <w:spacing w:before="0" w:after="283"/>
                              <w:jc w:val="left"/>
                              <w:rPr>
                                <w:spacing w:val="-4"/>
                              </w:rPr>
                            </w:pPr>
                            <w:r>
                              <w:rPr>
                                <w:spacing w:val="-4"/>
                              </w:rPr>
                              <w:t> </w:t>
                            </w:r>
                          </w:p>
                        </w:tc>
                      </w:tr>
                      <w:tr>
                        <w:trPr/>
                        <w:tc>
                          <w:tcPr>
                            <w:tcW w:w="665"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Matthew Fisch</w:t>
                            </w:r>
                          </w:p>
                        </w:tc>
                      </w:tr>
                      <w:tr>
                        <w:trPr/>
                        <w:tc>
                          <w:tcPr>
                            <w:tcW w:w="665"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Matthew Fisch</w:t>
                            </w:r>
                          </w:p>
                        </w:tc>
                      </w:tr>
                      <w:tr>
                        <w:trPr/>
                        <w:tc>
                          <w:tcPr>
                            <w:tcW w:w="665"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20" w:name="poa"/>
      <w:bookmarkEnd w:id="20"/>
      <w:r>
        <w:rPr>
          <w:rFonts w:ascii="Times New Roman;Times;Serif" w:hAnsi="Times New Roman;Times;Serif"/>
          <w:b/>
          <w:i w:val="false"/>
          <w:caps w:val="false"/>
          <w:smallCaps w:val="false"/>
          <w:sz w:val="20"/>
        </w:rPr>
        <w:t>POWER OF ATTORNEY</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Matthew Fisch and Conor B. Tierney, or each of them individually, as his or her true and lawful attorney-in-fact and agent, with full powers of substitution and re-substitution, for and in his or her name, place, and stead, in any and all capacities, to sign any and all amendments (including pre-effective amendments, post-effective amendments, exhibits thereto, and other documents in connection therewith) to this registration statement and any subsequent registration statement we may hereafter file with the Securities and Exchange Commission pursuant to Rule 462(b) under the Securities Act of 1933 to register additional securities in connection with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individually, or his or her substitute or substitutes, may lawfully do or cause to be done by virtue hereof.</w:t>
      </w:r>
    </w:p>
    <w:p>
      <w:pPr>
        <w:pStyle w:val="TextBody"/>
        <w:bidi w:val="0"/>
        <w:spacing w:before="14" w:after="14"/>
        <w:ind w:left="14" w:right="14"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p>
      <w:pPr>
        <w:pStyle w:val="TextBody"/>
        <w:bidi w:val="0"/>
        <w:spacing w:before="7" w:after="7"/>
        <w:ind w:left="7" w:right="7"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2405"/>
        <w:gridCol w:w="60"/>
        <w:gridCol w:w="4070"/>
        <w:gridCol w:w="60"/>
        <w:gridCol w:w="1175"/>
      </w:tblGrid>
      <w:tr>
        <w:trPr/>
        <w:tc>
          <w:tcPr>
            <w:tcW w:w="2405" w:type="dxa"/>
            <w:tcBorders>
              <w:bottom w:val="single" w:sz="8" w:space="0" w:color="000000"/>
            </w:tcBorders>
            <w:vAlign w:val="center"/>
          </w:tcPr>
          <w:p>
            <w:pPr>
              <w:pStyle w:val="TableContents"/>
              <w:bidi w:val="0"/>
              <w:spacing w:lineRule="atLeast" w:line="153" w:before="0" w:after="283"/>
              <w:jc w:val="left"/>
              <w:rPr>
                <w:b/>
                <w:spacing w:val="0"/>
                <w:sz w:val="20"/>
              </w:rPr>
            </w:pPr>
            <w:r>
              <w:rPr>
                <w:b/>
                <w:spacing w:val="0"/>
                <w:sz w:val="20"/>
              </w:rPr>
              <w:t>Signature</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bottom w:val="single" w:sz="8" w:space="0" w:color="000000"/>
            </w:tcBorders>
            <w:vAlign w:val="center"/>
          </w:tcPr>
          <w:p>
            <w:pPr>
              <w:pStyle w:val="TableContents"/>
              <w:bidi w:val="0"/>
              <w:spacing w:lineRule="atLeast" w:line="153" w:before="0" w:after="283"/>
              <w:jc w:val="center"/>
              <w:rPr>
                <w:b/>
                <w:spacing w:val="0"/>
                <w:sz w:val="20"/>
              </w:rPr>
            </w:pPr>
            <w:r>
              <w:rPr>
                <w:b/>
                <w:spacing w:val="0"/>
                <w:sz w:val="20"/>
              </w:rPr>
              <w:t>Title</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bottom w:val="single" w:sz="8" w:space="0" w:color="000000"/>
            </w:tcBorders>
            <w:vAlign w:val="center"/>
          </w:tcPr>
          <w:p>
            <w:pPr>
              <w:pStyle w:val="TableContents"/>
              <w:bidi w:val="0"/>
              <w:spacing w:lineRule="atLeast" w:line="153" w:before="0" w:after="283"/>
              <w:jc w:val="center"/>
              <w:rPr>
                <w:b/>
                <w:spacing w:val="0"/>
                <w:sz w:val="20"/>
              </w:rPr>
            </w:pPr>
            <w:r>
              <w:rPr>
                <w:b/>
                <w:spacing w:val="0"/>
                <w:sz w:val="20"/>
              </w:rPr>
              <w:t>Date</w:t>
            </w:r>
          </w:p>
        </w:tc>
      </w:tr>
      <w:tr>
        <w:trPr/>
        <w:tc>
          <w:tcPr>
            <w:tcW w:w="2405" w:type="dxa"/>
            <w:tcBorders>
              <w:bottom w:val="single" w:sz="8" w:space="0" w:color="000000"/>
            </w:tcBorders>
            <w:vAlign w:val="center"/>
          </w:tcPr>
          <w:p>
            <w:pPr>
              <w:pStyle w:val="TableContents"/>
              <w:bidi w:val="0"/>
              <w:spacing w:lineRule="atLeast" w:line="142"/>
              <w:jc w:val="left"/>
              <w:rPr>
                <w:caps w:val="false"/>
                <w:smallCaps w:val="false"/>
                <w:spacing w:val="0"/>
              </w:rPr>
            </w:pPr>
            <w:r>
              <w:rPr>
                <w:caps w:val="false"/>
                <w:smallCaps w:val="false"/>
                <w:spacing w:val="0"/>
              </w:rPr>
              <w:t> </w:t>
            </w:r>
          </w:p>
          <w:p>
            <w:pPr>
              <w:pStyle w:val="TableContents"/>
              <w:bidi w:val="0"/>
              <w:spacing w:lineRule="atLeast" w:line="179" w:before="19" w:after="19"/>
              <w:ind w:left="19" w:right="19" w:hanging="0"/>
              <w:jc w:val="left"/>
              <w:rPr>
                <w:caps w:val="false"/>
                <w:smallCaps w:val="false"/>
                <w:spacing w:val="0"/>
              </w:rPr>
            </w:pPr>
            <w:r>
              <w:rPr>
                <w:caps w:val="false"/>
                <w:smallCaps w:val="false"/>
                <w:spacing w:val="0"/>
              </w:rPr>
              <w:t> </w:t>
            </w:r>
          </w:p>
          <w:p>
            <w:pPr>
              <w:pStyle w:val="TableContents"/>
              <w:bidi w:val="0"/>
              <w:spacing w:lineRule="atLeast" w:line="179" w:before="19" w:after="19"/>
              <w:ind w:left="19" w:right="19"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/s/ Matthew Fisch</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8" w:before="0" w:after="283"/>
              <w:jc w:val="center"/>
              <w:rPr>
                <w:spacing w:val="0"/>
                <w:sz w:val="20"/>
              </w:rPr>
            </w:pPr>
            <w:r>
              <w:rPr>
                <w:spacing w:val="0"/>
                <w:sz w:val="20"/>
              </w:rPr>
              <w:t>Chief Executive Officer, Board Chair and 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8"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spacing w:before="0" w:after="283"/>
              <w:jc w:val="left"/>
              <w:rPr>
                <w:spacing w:val="0"/>
                <w:sz w:val="20"/>
              </w:rPr>
            </w:pPr>
            <w:r>
              <w:rPr>
                <w:spacing w:val="0"/>
                <w:sz w:val="20"/>
              </w:rPr>
              <w:t>Matthew Fisch</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3" w:before="0" w:after="283"/>
              <w:jc w:val="center"/>
              <w:rPr>
                <w:spacing w:val="0"/>
                <w:sz w:val="20"/>
              </w:rPr>
            </w:pPr>
            <w:r>
              <w:rPr>
                <w:spacing w:val="0"/>
                <w:sz w:val="20"/>
              </w:rPr>
              <w:t>(Principal Executive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r>
        <w:trPr/>
        <w:tc>
          <w:tcPr>
            <w:tcW w:w="2405" w:type="dxa"/>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/s/ Conor B. Tierney</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8" w:before="0" w:after="283"/>
              <w:jc w:val="center"/>
              <w:rPr>
                <w:spacing w:val="0"/>
                <w:sz w:val="20"/>
              </w:rPr>
            </w:pPr>
            <w:r>
              <w:rPr>
                <w:spacing w:val="0"/>
                <w:sz w:val="20"/>
              </w:rPr>
              <w:t>Chief Financial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8"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spacing w:before="0" w:after="283"/>
              <w:jc w:val="left"/>
              <w:rPr>
                <w:spacing w:val="0"/>
                <w:sz w:val="20"/>
              </w:rPr>
            </w:pPr>
            <w:r>
              <w:rPr>
                <w:spacing w:val="0"/>
                <w:sz w:val="20"/>
              </w:rPr>
              <w:t>Conor B. Tierney</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3"/>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(Principal Financial Officer and</w:t>
            </w:r>
          </w:p>
          <w:p>
            <w:pPr>
              <w:pStyle w:val="TableContents"/>
              <w:bidi w:val="0"/>
              <w:spacing w:before="30" w:after="283"/>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Principal Accounting Officer)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r>
        <w:trPr/>
        <w:tc>
          <w:tcPr>
            <w:tcW w:w="2405" w:type="dxa"/>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/s/ Timothy J. Dunn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9"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jc w:val="left"/>
              <w:rPr/>
            </w:pPr>
            <w:r>
              <w:rPr/>
              <w:t>Timothy J. Dunn</w:t>
            </w:r>
          </w:p>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r>
        <w:trPr/>
        <w:tc>
          <w:tcPr>
            <w:tcW w:w="2405" w:type="dxa"/>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/s/ Prof. Dr. Bernd Gottschalk</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9"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spacing w:before="1" w:after="1"/>
              <w:ind w:left="1" w:right="1"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 Dr. Bernd Gottschalk</w:t>
            </w:r>
          </w:p>
          <w:p>
            <w:pPr>
              <w:pStyle w:val="TableContents"/>
              <w:bidi w:val="0"/>
              <w:spacing w:before="1" w:after="1"/>
              <w:ind w:left="1" w:right="1" w:hanging="0"/>
              <w:jc w:val="left"/>
              <w:rPr>
                <w:caps w:val="false"/>
                <w:smallCaps w:val="false"/>
                <w:spacing w:val="0"/>
              </w:rPr>
            </w:pPr>
            <w:r>
              <w:rPr>
                <w:caps w:val="false"/>
                <w:smallCaps w:val="false"/>
                <w:spacing w:val="0"/>
              </w:rPr>
              <w:t> </w:t>
            </w:r>
          </w:p>
        </w:tc>
        <w:tc>
          <w:tcPr>
            <w:tcW w:w="60" w:type="dxa"/>
            <w:vMerge w:val="restart"/>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center"/>
              <w:rPr>
                <w:spacing w:val="0"/>
              </w:rPr>
            </w:pPr>
            <w:r>
              <w:rPr>
                <w:spacing w:val="0"/>
              </w:rPr>
              <w:t> </w:t>
            </w:r>
          </w:p>
        </w:tc>
        <w:tc>
          <w:tcPr>
            <w:tcW w:w="60" w:type="dxa"/>
            <w:vMerge w:val="restart"/>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r>
        <w:trPr/>
        <w:tc>
          <w:tcPr>
            <w:tcW w:w="2405" w:type="dxa"/>
            <w:tcBorders/>
            <w:tcMar>
              <w:bottom w:w="0" w:type="dxa"/>
            </w:tcMar>
            <w:vAlign w:val="center"/>
          </w:tcPr>
          <w:p>
            <w:pPr>
              <w:pStyle w:val="TableContents"/>
              <w:bidi w:val="0"/>
              <w:spacing w:lineRule="atLeast" w:line="179" w:before="0" w:after="283"/>
              <w:jc w:val="left"/>
              <w:rPr>
                <w:spacing w:val="0"/>
                <w:sz w:val="20"/>
              </w:rPr>
            </w:pPr>
            <w:r>
              <w:rPr>
                <w:spacing w:val="0"/>
                <w:sz w:val="20"/>
              </w:rPr>
              <w:t>/s/ Jonathon B. Husby</w:t>
            </w:r>
          </w:p>
        </w:tc>
        <w:tc>
          <w:tcPr>
            <w:tcW w:w="60" w:type="dxa"/>
            <w:vMerge w:val="continue"/>
            <w:tcBorders/>
            <w:tcMar>
              <w:bottom w:w="0" w:type="dxa"/>
            </w:tcMar>
            <w:vAlign w:val="center"/>
          </w:tcPr>
          <w:p>
            <w:pPr>
              <w:pStyle w:val="Normal"/>
              <w:bidi w:val="0"/>
              <w:jc w:val="left"/>
              <w:rPr/>
            </w:pPr>
            <w:r>
              <w:rPr/>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vMerge w:val="continue"/>
            <w:tcBorders/>
            <w:tcMar>
              <w:bottom w:w="0" w:type="dxa"/>
            </w:tcMar>
            <w:vAlign w:val="center"/>
          </w:tcPr>
          <w:p>
            <w:pPr>
              <w:pStyle w:val="Normal"/>
              <w:bidi w:val="0"/>
              <w:jc w:val="left"/>
              <w:rPr/>
            </w:pPr>
            <w:r>
              <w:rPr/>
            </w:r>
          </w:p>
        </w:tc>
        <w:tc>
          <w:tcPr>
            <w:tcW w:w="1175" w:type="dxa"/>
            <w:tcBorders/>
            <w:tcMar>
              <w:bottom w:w="0" w:type="dxa"/>
            </w:tcMar>
            <w:vAlign w:val="center"/>
          </w:tcPr>
          <w:p>
            <w:pPr>
              <w:pStyle w:val="TableContents"/>
              <w:bidi w:val="0"/>
              <w:spacing w:lineRule="atLeast" w:line="179" w:before="0" w:after="283"/>
              <w:jc w:val="center"/>
              <w:rPr>
                <w:spacing w:val="0"/>
                <w:sz w:val="20"/>
              </w:rPr>
            </w:pPr>
            <w:r>
              <w:rPr>
                <w:spacing w:val="0"/>
                <w:sz w:val="20"/>
              </w:rPr>
              <w:t>May 19, 2026</w:t>
            </w:r>
          </w:p>
        </w:tc>
      </w:tr>
      <w:tr>
        <w:trPr/>
        <w:tc>
          <w:tcPr>
            <w:tcW w:w="2405" w:type="dxa"/>
            <w:tcBorders>
              <w:top w:val="single" w:sz="8" w:space="0" w:color="000000"/>
            </w:tcBorders>
            <w:tcMar>
              <w:top w:w="28" w:type="dxa"/>
              <w:bottom w:w="0" w:type="dxa"/>
            </w:tcMar>
            <w:vAlign w:val="center"/>
          </w:tcPr>
          <w:p>
            <w:pPr>
              <w:pStyle w:val="TableContents"/>
              <w:bidi w:val="0"/>
              <w:jc w:val="left"/>
              <w:rPr>
                <w:spacing w:val="0"/>
                <w:sz w:val="20"/>
              </w:rPr>
            </w:pPr>
            <w:r>
              <w:rPr>
                <w:spacing w:val="0"/>
                <w:sz w:val="20"/>
              </w:rPr>
              <w:t>Jonathon B. Husby</w:t>
            </w:r>
          </w:p>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r>
        <w:trPr/>
        <w:tc>
          <w:tcPr>
            <w:tcW w:w="2405" w:type="dxa"/>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/s/ Doron Simon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9"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spacing w:lineRule="atLeast" w:line="179" w:before="0" w:after="283"/>
              <w:jc w:val="left"/>
              <w:rPr>
                <w:spacing w:val="0"/>
                <w:sz w:val="20"/>
              </w:rPr>
            </w:pPr>
            <w:r>
              <w:rPr>
                <w:spacing w:val="0"/>
                <w:sz w:val="20"/>
              </w:rPr>
              <w:t>Doron Simon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9" w:before="0" w:after="283"/>
              <w:jc w:val="center"/>
              <w:rPr>
                <w:spacing w:val="0"/>
              </w:rPr>
            </w:pPr>
            <w:r>
              <w:rPr>
                <w:spacing w:val="0"/>
              </w:rPr>
              <w:t> </w:t>
            </w:r>
          </w:p>
        </w:tc>
      </w:tr>
      <w:tr>
        <w:trPr/>
        <w:tc>
          <w:tcPr>
            <w:tcW w:w="2405" w:type="dxa"/>
            <w:tcBorders>
              <w:bottom w:val="single" w:sz="8" w:space="0" w:color="000000"/>
            </w:tcBorders>
            <w:vAlign w:val="center"/>
          </w:tcPr>
          <w:p>
            <w:pPr>
              <w:pStyle w:val="TableContents"/>
              <w:bidi w:val="0"/>
              <w:spacing w:lineRule="atLeast" w:line="179" w:before="0" w:after="283"/>
              <w:jc w:val="left"/>
              <w:rPr>
                <w:spacing w:val="0"/>
                <w:sz w:val="20"/>
              </w:rPr>
            </w:pPr>
            <w:r>
              <w:rPr>
                <w:spacing w:val="0"/>
                <w:sz w:val="20"/>
              </w:rPr>
              <w:t>/s/ Sue E. Zeifman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lineRule="atLeast" w:line="179" w:before="0" w:after="283"/>
              <w:jc w:val="center"/>
              <w:rPr>
                <w:spacing w:val="0"/>
                <w:sz w:val="20"/>
              </w:rPr>
            </w:pPr>
            <w:r>
              <w:rPr>
                <w:spacing w:val="0"/>
                <w:sz w:val="20"/>
              </w:rPr>
              <w:t>Director</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lineRule="atLeast" w:line="179" w:before="0" w:after="283"/>
              <w:jc w:val="center"/>
              <w:rPr>
                <w:spacing w:val="0"/>
                <w:sz w:val="20"/>
              </w:rPr>
            </w:pPr>
            <w:r>
              <w:rPr>
                <w:spacing w:val="0"/>
                <w:sz w:val="20"/>
              </w:rPr>
              <w:t>May 19, 2026</w:t>
            </w:r>
          </w:p>
        </w:tc>
      </w:tr>
      <w:tr>
        <w:trPr/>
        <w:tc>
          <w:tcPr>
            <w:tcW w:w="2405" w:type="dxa"/>
            <w:tcBorders/>
            <w:tcMar>
              <w:bottom w:w="0" w:type="dxa"/>
            </w:tcMar>
            <w:vAlign w:val="center"/>
          </w:tcPr>
          <w:p>
            <w:pPr>
              <w:pStyle w:val="TableContents"/>
              <w:bidi w:val="0"/>
              <w:spacing w:lineRule="atLeast" w:line="165" w:before="0" w:after="283"/>
              <w:jc w:val="left"/>
              <w:rPr>
                <w:spacing w:val="0"/>
                <w:sz w:val="20"/>
              </w:rPr>
            </w:pPr>
            <w:r>
              <w:rPr>
                <w:spacing w:val="0"/>
                <w:sz w:val="20"/>
              </w:rPr>
              <w:t>Sue E. Zeifman</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4070" w:type="dxa"/>
            <w:tcBorders/>
            <w:tcMar>
              <w:bottom w:w="0" w:type="dxa"/>
            </w:tcMar>
            <w:vAlign w:val="center"/>
          </w:tcPr>
          <w:p>
            <w:pPr>
              <w:pStyle w:val="TableContents"/>
              <w:bidi w:val="0"/>
              <w:spacing w:before="0" w:after="283"/>
              <w:jc w:val="left"/>
              <w:rPr>
                <w:spacing w:val="0"/>
              </w:rPr>
            </w:pPr>
            <w:r>
              <w:rPr>
                <w:spacing w:val="0"/>
              </w:rPr>
              <w:t> </w:t>
            </w:r>
          </w:p>
        </w:tc>
        <w:tc>
          <w:tcPr>
            <w:tcW w:w="60" w:type="dxa"/>
            <w:tcBorders/>
            <w:tcMar>
              <w:bottom w:w="0" w:type="dxa"/>
            </w:tcMar>
            <w:vAlign w:val="center"/>
          </w:tcPr>
          <w:p>
            <w:pPr>
              <w:pStyle w:val="TableContents"/>
              <w:bidi w:val="0"/>
              <w:spacing w:before="0" w:after="283"/>
              <w:jc w:val="left"/>
              <w:rPr>
                <w:spacing w:val="0"/>
              </w:rPr>
            </w:pPr>
            <w:r>
              <w:rPr>
                <w:spacing w:val="0"/>
              </w:rPr>
              <w:t> </w:t>
            </w:r>
          </w:p>
        </w:tc>
        <w:tc>
          <w:tcPr>
            <w:tcW w:w="1175" w:type="dxa"/>
            <w:tcBorders/>
            <w:tcMar>
              <w:bottom w:w="0" w:type="dxa"/>
            </w:tcMar>
            <w:vAlign w:val="center"/>
          </w:tcPr>
          <w:p>
            <w:pPr>
              <w:pStyle w:val="TableContents"/>
              <w:bidi w:val="0"/>
              <w:spacing w:before="0" w:after="283"/>
              <w:jc w:val="left"/>
              <w:rPr>
                <w:spacing w:val="0"/>
              </w:rPr>
            </w:pPr>
            <w:r>
              <w:rPr>
                <w:spacing w:val="0"/>
              </w:rPr>
              <w:t> </w:t>
            </w:r>
          </w:p>
        </w:tc>
      </w:tr>
    </w:tbl>
    <w:p>
      <w:pPr>
        <w:pStyle w:val="TextBody"/>
        <w:bidi w:val="0"/>
        <w:jc w:val="left"/>
        <w:rPr>
          <w:caps w:val="false"/>
          <w:smallCaps w:val="false"/>
        </w:rPr>
      </w:pPr>
      <w:r>
        <w:rPr>
          <w:caps w:val="false"/>
          <w:smallCaps w:val="false"/>
        </w:rPr>
        <w:t> </w:t>
      </w:r>
    </w:p>
    <w:p>
      <w:pPr>
        <w:pStyle w:val="TextBody"/>
        <w:bidi w:val="0"/>
        <w:spacing w:before="8" w:after="8"/>
        <w:ind w:left="8" w:right="8" w:hanging="0"/>
        <w:jc w:val="left"/>
        <w:rPr>
          <w:caps w:val="false"/>
          <w:smallCaps w:val="false"/>
        </w:rPr>
      </w:pPr>
      <w:r>
        <w:rPr>
          <w:caps w:val="false"/>
          <w:smallCaps w:val="false"/>
        </w:rPr>
        <w:t> </w:t>
      </w:r>
    </w:p>
    <w:p>
      <w:pPr>
        <w:pStyle w:val="TextBody"/>
        <w:bidi w:val="0"/>
        <w:spacing w:before="8" w:after="8"/>
        <w:ind w:left="8" w:right="8" w:hanging="0"/>
        <w:jc w:val="left"/>
        <w:rPr>
          <w:caps w:val="false"/>
          <w:smallCaps w:val="false"/>
        </w:rPr>
      </w:pPr>
      <w:r>
        <w:rPr>
          <w:caps w:val="false"/>
          <w:smallCaps w:val="false"/>
        </w:rPr>
        <w:t> </w:t>
      </w:r>
    </w:p>
    <w:p>
      <w:pPr>
        <w:pStyle w:val="TextBody"/>
        <w:bidi w:val="0"/>
        <w:spacing w:before="8" w:after="8"/>
        <w:ind w:left="8" w:right="8" w:hanging="0"/>
        <w:jc w:val="left"/>
        <w:rPr>
          <w:caps w:val="false"/>
          <w:smallCaps w:val="false"/>
        </w:rPr>
      </w:pPr>
      <w:r>
        <w:rPr>
          <w:caps w:val="false"/>
          <w:smallCaps w:val="false"/>
        </w:rPr>
        <w:t> </w:t>
      </w:r>
    </w:p>
    <w:p>
      <w:pPr>
        <w:pStyle w:val="TextBody"/>
        <w:bidi w:val="0"/>
        <w:spacing w:before="8"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II-6</w:t>
      </w:r>
    </w:p>
    <w:p>
      <w:pPr>
        <w:pStyle w:val="TextBody"/>
        <w:bidi w:val="0"/>
        <w:spacing w:before="20" w:after="20"/>
        <w:jc w:val="left"/>
        <w:rPr>
          <w:bdr w:val="single" w:sz="16" w:space="1" w:color="000000"/>
        </w:rPr>
      </w:pPr>
      <w:r>
        <w:rPr>
          <w:bdr w:val="single" w:sz="16" w:space="1" w:color="000000"/>
        </w:rPr>
        <w:t> </w:t>
      </w:r>
    </w:p>
    <w:p>
      <w:pPr>
        <w:pStyle w:val="TextBody"/>
        <w:bidi w:val="0"/>
        <w:spacing w:before="8" w:after="8"/>
        <w:ind w:left="8" w:right="8" w:hanging="0"/>
        <w:jc w:val="left"/>
        <w:rPr>
          <w:caps w:val="false"/>
          <w:smallCaps w:val="false"/>
        </w:rPr>
      </w:pPr>
      <w:r>
        <w:rPr>
          <w:caps w:val="false"/>
          <w:smallCaps w:val="false"/>
        </w:rPr>
        <w:t> </w:t>
      </w:r>
    </w:p>
    <w:p>
      <w:pPr>
        <w:pStyle w:val="TextBody"/>
        <w:bidi w:val="0"/>
        <w:spacing w:before="240" w:after="240"/>
        <w:ind w:left="240" w:right="240" w:hanging="0"/>
        <w:jc w:val="right"/>
        <w:rPr>
          <w:rFonts w:ascii="Times New Roman;Times;Serif" w:hAnsi="Times New Roman;Times;Serif"/>
          <w:b/>
          <w:i w:val="false"/>
          <w:caps w:val="false"/>
          <w:smallCaps w:val="false"/>
          <w:sz w:val="24"/>
        </w:rPr>
      </w:pPr>
      <w:bookmarkStart w:id="21" w:name="ss6342442_ex0413.htm"/>
      <w:bookmarkStart w:id="22" w:name="ksss6342442_ex0413"/>
      <w:bookmarkEnd w:id="21"/>
      <w:bookmarkEnd w:id="22"/>
      <w:r>
        <w:rPr>
          <w:rFonts w:ascii="Times New Roman;Times;Serif" w:hAnsi="Times New Roman;Times;Serif"/>
          <w:b/>
          <w:i w:val="false"/>
          <w:caps w:val="false"/>
          <w:smallCaps w:val="false"/>
          <w:sz w:val="24"/>
        </w:rPr>
        <w:t>Exhibit 4.13</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240" w:after="240"/>
        <w:ind w:left="240" w:right="240" w:hanging="0"/>
        <w:jc w:val="center"/>
        <w:rPr>
          <w:caps w:val="false"/>
          <w:smallCaps w:val="false"/>
        </w:rPr>
      </w:pPr>
      <w:r>
        <w:rPr>
          <w:caps w:val="false"/>
          <w:smallCaps w:val="false"/>
        </w:rPr>
        <w:t> </w:t>
      </w:r>
    </w:p>
    <w:tbl>
      <w:tblPr>
        <w:tblW w:w="6247" w:type="dxa"/>
        <w:jc w:val="left"/>
        <w:tblInd w:w="0" w:type="dxa"/>
        <w:tblLayout w:type="fixed"/>
        <w:tblCellMar>
          <w:top w:w="0" w:type="dxa"/>
          <w:left w:w="0" w:type="dxa"/>
          <w:bottom w:w="0" w:type="dxa"/>
          <w:right w:w="0" w:type="dxa"/>
        </w:tblCellMar>
      </w:tblPr>
      <w:tblGrid>
        <w:gridCol w:w="80"/>
        <w:gridCol w:w="64"/>
        <w:gridCol w:w="1169"/>
        <w:gridCol w:w="64"/>
        <w:gridCol w:w="4385"/>
        <w:gridCol w:w="60"/>
        <w:gridCol w:w="72"/>
        <w:gridCol w:w="278"/>
        <w:gridCol w:w="75"/>
      </w:tblGrid>
      <w:tr>
        <w:trPr/>
        <w:tc>
          <w:tcPr>
            <w:tcW w:w="8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Page</w:t>
            </w:r>
          </w:p>
        </w:tc>
        <w:tc>
          <w:tcPr>
            <w:tcW w:w="75" w:type="dxa"/>
            <w:tcBorders/>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INCORPORATION BY REFERENCE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Issuable in Series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Terms of Series of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Provision for Payment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 in Trust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Lists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2.16.</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2.17.</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Ownership</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REDEMPTION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Trustee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Securities to be Redeemed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64" w:type="dxa"/>
            <w:tcBorders/>
            <w:shd w:fill="CCEEFF" w:val="clear"/>
            <w:vAlign w:val="center"/>
          </w:tcPr>
          <w:p>
            <w:pPr>
              <w:pStyle w:val="TableContents"/>
              <w:bidi w:val="0"/>
              <w:spacing w:before="0" w:after="283"/>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75"/>
        <w:gridCol w:w="60"/>
        <w:gridCol w:w="1085"/>
        <w:gridCol w:w="60"/>
        <w:gridCol w:w="5285"/>
        <w:gridCol w:w="60"/>
        <w:gridCol w:w="60"/>
        <w:gridCol w:w="230"/>
        <w:gridCol w:w="75"/>
      </w:tblGrid>
      <w:tr>
        <w:trPr/>
        <w:tc>
          <w:tcPr>
            <w:tcW w:w="6565" w:type="dxa"/>
            <w:gridSpan w:val="5"/>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ARTICLE IV. COVENANTS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534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6565" w:type="dxa"/>
            <w:gridSpan w:val="5"/>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ind w:left="0" w:right="0" w:hanging="200"/>
              <w:jc w:val="left"/>
              <w:rPr/>
            </w:pPr>
            <w:r>
              <w:rPr/>
              <w:t> </w:t>
            </w:r>
          </w:p>
        </w:tc>
      </w:tr>
      <w:tr>
        <w:trPr/>
        <w:tc>
          <w:tcPr>
            <w:tcW w:w="6565"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SUCCESSORS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5345" w:type="dxa"/>
            <w:gridSpan w:val="2"/>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Consolidation, Merger and Sale of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Person Substituted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FFFFFF" w:val="clear"/>
            <w:vAlign w:val="center"/>
          </w:tcPr>
          <w:p>
            <w:pPr>
              <w:pStyle w:val="TableContents"/>
              <w:bidi w:val="0"/>
              <w:spacing w:before="0" w:after="283"/>
              <w:jc w:val="left"/>
              <w:rPr/>
            </w:pPr>
            <w:r>
              <w:rPr/>
              <w:t> </w:t>
            </w:r>
          </w:p>
        </w:tc>
      </w:tr>
      <w:tr>
        <w:trPr/>
        <w:tc>
          <w:tcPr>
            <w:tcW w:w="6565"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6565"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DEFAULTS AND REMEDIES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534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Unconditional Right of Holders to Receive Principal and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vAlign w:val="center"/>
          </w:tcPr>
          <w:p>
            <w:pPr>
              <w:pStyle w:val="TableContents"/>
              <w:bidi w:val="0"/>
              <w:spacing w:before="0" w:after="283"/>
              <w:jc w:val="left"/>
              <w:rPr/>
            </w:pPr>
            <w:r>
              <w:rPr/>
              <w:t> </w:t>
            </w:r>
          </w:p>
        </w:tc>
      </w:tr>
      <w:tr>
        <w:trPr/>
        <w:tc>
          <w:tcPr>
            <w:tcW w:w="6565" w:type="dxa"/>
            <w:gridSpan w:val="5"/>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ind w:left="0" w:right="0" w:hanging="200"/>
              <w:jc w:val="left"/>
              <w:rPr/>
            </w:pPr>
            <w:r>
              <w:rPr/>
              <w:t> </w:t>
            </w:r>
          </w:p>
        </w:tc>
      </w:tr>
      <w:tr>
        <w:trPr/>
        <w:tc>
          <w:tcPr>
            <w:tcW w:w="6565"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TRUSTEE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5345" w:type="dxa"/>
            <w:gridSpan w:val="2"/>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75"/>
        <w:gridCol w:w="60"/>
        <w:gridCol w:w="1085"/>
        <w:gridCol w:w="60"/>
        <w:gridCol w:w="4205"/>
        <w:gridCol w:w="60"/>
        <w:gridCol w:w="60"/>
        <w:gridCol w:w="23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60" w:type="dxa"/>
            <w:tcBorders/>
            <w:shd w:fill="CCEEFF" w:val="clear"/>
            <w:vAlign w:val="center"/>
          </w:tcPr>
          <w:p>
            <w:pPr>
              <w:pStyle w:val="TableContents"/>
              <w:bidi w:val="0"/>
              <w:spacing w:before="0" w:after="283"/>
              <w:ind w:left="0" w:right="0" w:hanging="200"/>
              <w:jc w:val="left"/>
              <w:rPr/>
            </w:pPr>
            <w:r>
              <w:rPr/>
              <w:t> </w:t>
            </w:r>
          </w:p>
        </w:tc>
        <w:tc>
          <w:tcPr>
            <w:tcW w:w="4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60" w:type="dxa"/>
            <w:tcBorders/>
            <w:shd w:fill="FFFFFF" w:val="clear"/>
            <w:vAlign w:val="center"/>
          </w:tcPr>
          <w:p>
            <w:pPr>
              <w:pStyle w:val="TableContents"/>
              <w:bidi w:val="0"/>
              <w:spacing w:before="0" w:after="283"/>
              <w:ind w:left="0" w:right="0" w:hanging="200"/>
              <w:jc w:val="left"/>
              <w:rPr/>
            </w:pPr>
            <w:r>
              <w:rPr/>
              <w:t> </w:t>
            </w:r>
          </w:p>
        </w:tc>
        <w:tc>
          <w:tcPr>
            <w:tcW w:w="4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60" w:type="dxa"/>
            <w:tcBorders/>
            <w:shd w:fill="CCEEFF" w:val="clear"/>
            <w:vAlign w:val="center"/>
          </w:tcPr>
          <w:p>
            <w:pPr>
              <w:pStyle w:val="TableContents"/>
              <w:bidi w:val="0"/>
              <w:spacing w:before="0" w:after="283"/>
              <w:ind w:left="0" w:right="0" w:hanging="200"/>
              <w:jc w:val="left"/>
              <w:rPr/>
            </w:pPr>
            <w:r>
              <w:rPr/>
              <w:t> </w:t>
            </w:r>
          </w:p>
        </w:tc>
        <w:tc>
          <w:tcPr>
            <w:tcW w:w="4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 Etc.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0" w:type="dxa"/>
            <w:tcBorders/>
            <w:shd w:fill="FFFFFF" w:val="clear"/>
            <w:vAlign w:val="center"/>
          </w:tcPr>
          <w:p>
            <w:pPr>
              <w:pStyle w:val="TableContents"/>
              <w:bidi w:val="0"/>
              <w:spacing w:before="0" w:after="283"/>
              <w:ind w:left="0" w:right="0" w:hanging="200"/>
              <w:jc w:val="left"/>
              <w:rPr/>
            </w:pPr>
            <w:r>
              <w:rPr/>
              <w:t> </w:t>
            </w:r>
          </w:p>
        </w:tc>
        <w:tc>
          <w:tcPr>
            <w:tcW w:w="4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0" w:type="dxa"/>
            <w:tcBorders/>
            <w:shd w:fill="CCEEFF" w:val="clear"/>
            <w:vAlign w:val="center"/>
          </w:tcPr>
          <w:p>
            <w:pPr>
              <w:pStyle w:val="TableContents"/>
              <w:bidi w:val="0"/>
              <w:spacing w:before="0" w:after="283"/>
              <w:ind w:left="0" w:right="0" w:hanging="200"/>
              <w:jc w:val="left"/>
              <w:rPr/>
            </w:pPr>
            <w:r>
              <w:rPr/>
              <w:t> </w:t>
            </w:r>
          </w:p>
        </w:tc>
        <w:tc>
          <w:tcPr>
            <w:tcW w:w="4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75"/>
        <w:gridCol w:w="60"/>
        <w:gridCol w:w="1190"/>
        <w:gridCol w:w="60"/>
        <w:gridCol w:w="4415"/>
        <w:gridCol w:w="60"/>
        <w:gridCol w:w="60"/>
        <w:gridCol w:w="230"/>
        <w:gridCol w:w="75"/>
      </w:tblGrid>
      <w:tr>
        <w:trPr/>
        <w:tc>
          <w:tcPr>
            <w:tcW w:w="5800" w:type="dxa"/>
            <w:gridSpan w:val="5"/>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ind w:left="0" w:right="0" w:hanging="200"/>
              <w:jc w:val="left"/>
              <w:rPr/>
            </w:pPr>
            <w:r>
              <w:rPr/>
              <w:t> </w:t>
            </w:r>
          </w:p>
        </w:tc>
      </w:tr>
      <w:tr>
        <w:trPr/>
        <w:tc>
          <w:tcPr>
            <w:tcW w:w="5800"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SATISFACTION AND DISCHARGE; DEFEASANCE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250" w:type="dxa"/>
            <w:gridSpan w:val="2"/>
            <w:tcBorders/>
            <w:shd w:fill="FFFFFF" w:val="clear"/>
            <w:vAlign w:val="center"/>
          </w:tcPr>
          <w:p>
            <w:pPr>
              <w:pStyle w:val="TableContents"/>
              <w:bidi w:val="0"/>
              <w:spacing w:before="0" w:after="283"/>
              <w:jc w:val="left"/>
              <w:rPr/>
            </w:pPr>
            <w:r>
              <w:rPr/>
              <w:t> </w:t>
            </w:r>
          </w:p>
        </w:tc>
        <w:tc>
          <w:tcPr>
            <w:tcW w:w="4475" w:type="dxa"/>
            <w:gridSpan w:val="2"/>
            <w:tcBorders/>
            <w:shd w:fill="FFFFFF" w:val="clear"/>
            <w:vAlign w:val="center"/>
          </w:tcPr>
          <w:p>
            <w:pPr>
              <w:pStyle w:val="TableContents"/>
              <w:bidi w:val="0"/>
              <w:spacing w:before="0" w:after="283"/>
              <w:jc w:val="left"/>
              <w:rPr/>
            </w:pPr>
            <w:r>
              <w:rPr/>
              <w:t> </w:t>
            </w:r>
          </w:p>
        </w:tc>
        <w:tc>
          <w:tcPr>
            <w:tcW w:w="425" w:type="dxa"/>
            <w:gridSpan w:val="4"/>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Funds; Indemnification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of Securities of any Series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FFFFFF" w:val="clear"/>
            <w:vAlign w:val="center"/>
          </w:tcPr>
          <w:p>
            <w:pPr>
              <w:pStyle w:val="TableContents"/>
              <w:bidi w:val="0"/>
              <w:spacing w:before="0" w:after="283"/>
              <w:jc w:val="left"/>
              <w:rPr/>
            </w:pPr>
            <w:r>
              <w:rPr/>
              <w:t> </w:t>
            </w:r>
          </w:p>
        </w:tc>
      </w:tr>
      <w:tr>
        <w:trPr/>
        <w:tc>
          <w:tcPr>
            <w:tcW w:w="5800" w:type="dxa"/>
            <w:gridSpan w:val="5"/>
            <w:tcBorders/>
            <w:shd w:fill="CCEEFF" w:val="clear"/>
            <w:vAlign w:val="center"/>
          </w:tcPr>
          <w:p>
            <w:pPr>
              <w:pStyle w:val="TableContents"/>
              <w:bidi w:val="0"/>
              <w:spacing w:before="0" w:after="283"/>
              <w:jc w:val="left"/>
              <w:rPr/>
            </w:pPr>
            <w:r>
              <w:rPr/>
              <w:t> </w:t>
            </w:r>
          </w:p>
        </w:tc>
        <w:tc>
          <w:tcPr>
            <w:tcW w:w="425" w:type="dxa"/>
            <w:gridSpan w:val="4"/>
            <w:tcBorders/>
            <w:shd w:fill="CCEEFF" w:val="clear"/>
            <w:vAlign w:val="center"/>
          </w:tcPr>
          <w:p>
            <w:pPr>
              <w:pStyle w:val="TableContents"/>
              <w:bidi w:val="0"/>
              <w:spacing w:before="0" w:after="283"/>
              <w:ind w:left="0" w:right="0" w:hanging="200"/>
              <w:jc w:val="left"/>
              <w:rPr/>
            </w:pPr>
            <w:r>
              <w:rPr/>
              <w:t> </w:t>
            </w:r>
          </w:p>
        </w:tc>
      </w:tr>
      <w:tr>
        <w:trPr/>
        <w:tc>
          <w:tcPr>
            <w:tcW w:w="5800"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AMENDMENTS AND WAIVERS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250" w:type="dxa"/>
            <w:gridSpan w:val="2"/>
            <w:tcBorders/>
            <w:shd w:fill="CCEEFF" w:val="clear"/>
            <w:vAlign w:val="center"/>
          </w:tcPr>
          <w:p>
            <w:pPr>
              <w:pStyle w:val="TableContents"/>
              <w:bidi w:val="0"/>
              <w:spacing w:before="0" w:after="283"/>
              <w:jc w:val="left"/>
              <w:rPr/>
            </w:pPr>
            <w:r>
              <w:rPr/>
              <w:t> </w:t>
            </w:r>
          </w:p>
        </w:tc>
        <w:tc>
          <w:tcPr>
            <w:tcW w:w="4475" w:type="dxa"/>
            <w:gridSpan w:val="2"/>
            <w:tcBorders/>
            <w:shd w:fill="CCEEFF" w:val="clear"/>
            <w:vAlign w:val="center"/>
          </w:tcPr>
          <w:p>
            <w:pPr>
              <w:pStyle w:val="TableContents"/>
              <w:bidi w:val="0"/>
              <w:spacing w:before="0" w:after="283"/>
              <w:jc w:val="left"/>
              <w:rPr/>
            </w:pPr>
            <w:r>
              <w:rPr/>
              <w:t> </w:t>
            </w:r>
          </w:p>
        </w:tc>
        <w:tc>
          <w:tcPr>
            <w:tcW w:w="425" w:type="dxa"/>
            <w:gridSpan w:val="4"/>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Protected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jc w:val="left"/>
              <w:rPr/>
            </w:pPr>
            <w:r>
              <w:rPr/>
              <w:t> </w:t>
            </w:r>
          </w:p>
        </w:tc>
      </w:tr>
      <w:tr>
        <w:trPr/>
        <w:tc>
          <w:tcPr>
            <w:tcW w:w="5800" w:type="dxa"/>
            <w:gridSpan w:val="5"/>
            <w:tcBorders/>
            <w:shd w:fill="CCEEFF" w:val="clear"/>
            <w:vAlign w:val="center"/>
          </w:tcPr>
          <w:p>
            <w:pPr>
              <w:pStyle w:val="TableContents"/>
              <w:bidi w:val="0"/>
              <w:spacing w:before="0" w:after="283"/>
              <w:jc w:val="left"/>
              <w:rPr/>
            </w:pPr>
            <w:r>
              <w:rPr/>
              <w:t> </w:t>
            </w:r>
          </w:p>
        </w:tc>
        <w:tc>
          <w:tcPr>
            <w:tcW w:w="425" w:type="dxa"/>
            <w:gridSpan w:val="4"/>
            <w:tcBorders/>
            <w:shd w:fill="CCEEFF" w:val="clear"/>
            <w:vAlign w:val="center"/>
          </w:tcPr>
          <w:p>
            <w:pPr>
              <w:pStyle w:val="TableContents"/>
              <w:bidi w:val="0"/>
              <w:spacing w:before="0" w:after="283"/>
              <w:ind w:left="0" w:right="0" w:hanging="200"/>
              <w:jc w:val="left"/>
              <w:rPr/>
            </w:pPr>
            <w:r>
              <w:rPr/>
              <w:t> </w:t>
            </w:r>
          </w:p>
        </w:tc>
      </w:tr>
      <w:tr>
        <w:trPr/>
        <w:tc>
          <w:tcPr>
            <w:tcW w:w="5800"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250" w:type="dxa"/>
            <w:gridSpan w:val="2"/>
            <w:tcBorders/>
            <w:shd w:fill="CCEEFF" w:val="clear"/>
            <w:vAlign w:val="center"/>
          </w:tcPr>
          <w:p>
            <w:pPr>
              <w:pStyle w:val="TableContents"/>
              <w:bidi w:val="0"/>
              <w:spacing w:before="0" w:after="283"/>
              <w:jc w:val="left"/>
              <w:rPr/>
            </w:pPr>
            <w:r>
              <w:rPr/>
              <w:t> </w:t>
            </w:r>
          </w:p>
        </w:tc>
        <w:tc>
          <w:tcPr>
            <w:tcW w:w="4475" w:type="dxa"/>
            <w:gridSpan w:val="2"/>
            <w:tcBorders/>
            <w:shd w:fill="CCEEFF" w:val="clear"/>
            <w:vAlign w:val="center"/>
          </w:tcPr>
          <w:p>
            <w:pPr>
              <w:pStyle w:val="TableContents"/>
              <w:bidi w:val="0"/>
              <w:spacing w:before="0" w:after="283"/>
              <w:jc w:val="left"/>
              <w:rPr/>
            </w:pPr>
            <w:r>
              <w:rPr/>
              <w:t> </w:t>
            </w:r>
          </w:p>
        </w:tc>
        <w:tc>
          <w:tcPr>
            <w:tcW w:w="425" w:type="dxa"/>
            <w:gridSpan w:val="4"/>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 by Holders with Other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Required in Certificate or Opinion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 Against 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Jury Trial Waiver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in a Foreign Currency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5800"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5800"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SINKING 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447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120" w:after="120"/>
        <w:ind w:left="120" w:right="1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20</w:t>
      </w:r>
    </w:p>
    <w:p>
      <w:pPr>
        <w:pStyle w:val="TextBody"/>
        <w:bidi w:val="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935"/>
        <w:gridCol w:w="60"/>
        <w:gridCol w:w="60"/>
        <w:gridCol w:w="60"/>
        <w:gridCol w:w="1280"/>
      </w:tblGrid>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310(a)(1)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311(a)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312(a)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313(a)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314(a)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4.2, 10.5</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315(a)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316(a)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317(a)(1)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318(a)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ind w:left="0" w:right="0" w:firstLine="1102"/>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20 , between AEYE, INC., a company incorporated under the laws of the State of Delaware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 as trustee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INCORPORATION BY REFERENCE</w:t>
      </w:r>
    </w:p>
    <w:p>
      <w:pPr>
        <w:pStyle w:val="TextBody"/>
        <w:bidi w:val="0"/>
        <w:spacing w:before="0" w:after="240"/>
        <w:ind w:left="0" w:right="0" w:hanging="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for a particular Series, any day except a Saturday, Sunday or any day, including a legal holiday, on which banking institutions are authorized or required by law, regulation or executive order to close in The City of New York (or in connection with any payment, the place of payment).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participations, rights or other equivalents (however designated) of the equity of such person.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Certificated Securities</w:t>
      </w:r>
      <w:r>
        <w:rPr>
          <w:rFonts w:ascii="Times New Roman;Times;Serif" w:hAnsi="Times New Roman;Times;Serif"/>
          <w:b w:val="false"/>
          <w:i w:val="false"/>
          <w:caps w:val="false"/>
          <w:smallCaps w:val="false"/>
          <w:sz w:val="20"/>
        </w:rPr>
        <w:t>” means definitive Securities in registered non-global certificated form.</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which duly assumes the obligations under this Indenture, replaces it and thereafter means the successor.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an Officer.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related to this Indenture shall be principally administered, which office at the date hereof is located at ,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 on the books of the Registrar.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particular Series of Securities established as contemplated hereunder.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means, with respect to any Security, any interest on such Security, and with respect to any Discount Security which by its terms bears interest only after Maturity, interest payable after Maturity.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Chief Executive Officer, President, any Vice President, the Treasurer or Secretary of the Company.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(or any person designated in writing by an Officer of the Company as authorized to execute and deliver Officer’s Certificates) and delivered to the Trustee.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The counsel may be an employee of or counsel to the Company. Opinions of Counsel required to be delivered under this Indenture may have qualifications customary for opinions of the type required.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trust, joint venture, limited liability company, unincorporated organization or government or any agency, instrumentality or political subdivision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the Security.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having direct responsibility for administration of this Indenture and also means, with respect to a particular corporate trust matter, any other officer to whom any corporate trust matter is referred because of his or her knowledge of and familiarity with a particular subject and who shall have direct responsibility for the administration of this Indenture.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2.1 and 2.2 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means the date specified in such Security as the fixed date on which the principal of such Security is due and payable.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joint venture, limited liability company or other business entity of which a majority of the outstanding shares of Capital Stock or other interests having the power to vote in the election of directors, managers or trustees thereof is at the time directly or indirectly owned or controlled by such person or one or more of the other Subsidiaries of such person, or a combination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(15 U.S. Code §§ 77aaa-77bbbb) as in effect on the date of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Trust Indenture Act of 1939 is amended after such date, “TIA” means, to the extent required by any such amendment, the Trust Indenture Act as so amended.</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means The United States of America (including the states thereof and the District of Columbia), its territories and possessions and other areas subject to its jurisdiction.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securities which are direct obligations of, or guaranteed by, The United States of America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tbl>
      <w:tblPr>
        <w:tblW w:w="4029" w:type="dxa"/>
        <w:jc w:val="left"/>
        <w:tblInd w:w="0" w:type="dxa"/>
        <w:tblLayout w:type="fixed"/>
        <w:tblCellMar>
          <w:top w:w="0" w:type="dxa"/>
          <w:left w:w="0" w:type="dxa"/>
          <w:bottom w:w="0" w:type="dxa"/>
          <w:right w:w="0" w:type="dxa"/>
        </w:tblCellMar>
      </w:tblPr>
      <w:tblGrid>
        <w:gridCol w:w="2930"/>
        <w:gridCol w:w="60"/>
        <w:gridCol w:w="105"/>
        <w:gridCol w:w="859"/>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TERM</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DEFINED IN</w:t>
              <w:br/>
              <w:t>SECTION</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Bankruptcy Law”</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Custodian”</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Event of Default”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Judgment Currency”</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Legal Holiday”</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mandatory sinking fund payment”</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optional sinking fund payment”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sz w:val="20"/>
              </w:rPr>
              <w:t>Paying Agent”</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sz w:val="20"/>
              </w:rPr>
              <w:t>Registrar”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sz w:val="20"/>
              </w:rPr>
              <w:t>Required Currency”</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sz w:val="20"/>
              </w:rPr>
              <w:t>successor person”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120" w:after="120"/>
        <w:ind w:left="120" w:right="12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means the SEC.</w:t>
      </w:r>
    </w:p>
    <w:p>
      <w:pPr>
        <w:pStyle w:val="TextBody"/>
        <w:bidi w:val="0"/>
        <w:spacing w:before="120" w:after="120"/>
        <w:ind w:left="120" w:right="12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120" w:after="120"/>
        <w:ind w:left="120" w:right="12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is not exclusive;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provisions apply to successive events and transactions.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hereto or Officer’s Certificate establishing the terms of such Series. In the case of Securities of a Series to be issued from time to time, the Board Resolution, Officer’s Certificate or supplemental indenture establishing the terms thereof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title (which shall distinguish the Securities of that particular Series from the Securities of any other Series)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the price or prices (expressed as a percentage of the principal amount thereof) at which the Securities of the Series will be issued;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2.8, 2.9, 2.12, 3.6 or 9.6);</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the date or dates on which the principal of the Securities of the Series is payable;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if applicable, the period or periods within which, the price or prices at which and the terms and conditions upon which the Securities of the Series must be redeemed or may be redeemed, in whole or in part, at the option of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 if other than denominations of $1,000 and integral multiples of $1,000 in excess thereof, the denominations in which the Securities of the Series shall be issuable;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the forms of the Securities of the Series and whether the Securities will be issuable as Global Securities;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 the designation of the currency, currencies or currency units in which payment of the principal of and interest, if any, on the Securities of the Series will be made;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 the provisions, if any, relating to any security provided for the Securities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 any addition to, deletion of or change in the covenants set forth in Articles IV or V which applies to Securities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 any Depositaries, trustees, interest rate calculation agents, exchange rate calculation agents or other agents with respect to Securities of such Series if other than those appointed herein;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 the provisions, if any, relating to conversion or exchange of any Securities of such Series, including if applicable, the conversion or exchange price, the conversion or exchange period, the securities or other property into which the Securities will be convertible,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 whether any of the Company’s direct or indirect Subsidiaries will guarantee the Securities of that Series, including the terms of subordination, if any, of such guarantees;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Denominations; Provision for Payment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shall be issuable, except as otherwise provided with respect to Securities of any Series pursuant to Section 2.2, as registered Securities in the denominations of one thousand Dollars ($1,000) or any integral multiples of $1,000 in excess thereof. Unless otherwise provided with respect to Securities of any Series pursuant to Section 2.2, the principal of and the interest on the Securities of any Series, if any, thereon, shall by payable in Dollars at the Corporate Trust Office of the Trustee. Unless otherwise specified pursuant to Section 2.2 with respect to any Securities of any Series, interest on the Securities of any Series shall be computed on the basis of a 360-day year consisting of twelve 30-day months.</w:t>
      </w:r>
    </w:p>
    <w:p>
      <w:pPr>
        <w:pStyle w:val="TextBody"/>
        <w:bidi w:val="0"/>
        <w:spacing w:before="120" w:after="120"/>
        <w:ind w:left="120" w:right="12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2.9.</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7.1) shall be fully protected in conclusively relying on: (a) the Board Resolution, supplemental indenture hereto or Officer’s Certificate delivered pursuant to Section 2.2 establishing the form of the Securities of that Series or of Securities within that Series and the terms of the Securities of that Series or of Securities within that Series, (b) an Officer’s Certificate complying with Section 9.7 (with respect to the execution of supplemental indentures) and Section 10.4, and (c) an Opinion of Counsel complying with Section 9.7 (with respect to the execution of supplemental indentures) and Section 10.4.</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but not the obligation, to decline to authenticate and deliver any Securities of such Series: (a) if the Trustee, being advised by counsel, determines that such action may not be taken lawfully; or (b) if the Trustee in good faith determines that such action would expose the Trustee to personal liability.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an office or agency where Securities of such Series may be presented or surrendered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and where Securities of such Series may be surrendered for registration of transfer 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The Registrar shall keep a register with respect to each Series of Securities and to their transfer and exchange (the “</w:t>
      </w:r>
      <w:r>
        <w:rPr>
          <w:rFonts w:ascii="Times New Roman;Times;Serif" w:hAnsi="Times New Roman;Times;Serif"/>
          <w:b w:val="false"/>
          <w:i/>
          <w:caps w:val="false"/>
          <w:smallCaps w:val="false"/>
          <w:sz w:val="20"/>
        </w:rPr>
        <w:t>Security Register</w:t>
      </w:r>
      <w:r>
        <w:rPr>
          <w:rFonts w:ascii="Times New Roman;Times;Serif" w:hAnsi="Times New Roman;Times;Serif"/>
          <w:b w:val="false"/>
          <w:i w:val="false"/>
          <w:caps w:val="false"/>
          <w:smallCaps w:val="false"/>
          <w:sz w:val="20"/>
        </w:rPr>
        <w:t>”). The Company will give prompt written notice to the Trustee of the name and address, and any change in the name or address, of each Registrar or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designation or rescission shall in any manner relieve the Company of its obligations to maintain a Registrar or Paying Agent in each place so specified for Securities of any Series for such purposes.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give prompt written notice to the Trustee of any such designation or rescission and of any change in the name or address of any such co-registrar or additional paying agent.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Company or any of its Affiliates may serve as Registrar or Paying Agent.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Trustee as the initial Registrar and Paying Agent for each Series unless another Registrar or Paying Agent, as the case may be, is appointed prior to the time Securities of that Series are first issued.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Securities of that Series,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within 30 days after receipt by the Company of any such request, a list, in such form and as of such date as the Trustee may reasonably require, of the names and addresses of Securityholders of each Series of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2.12, 3.6 or 9.6).</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written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2.9,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2.9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2.9 are exclusive and shall preclude (to the extent lawful) all other rights and remedies with respect to the replacement or payment of mutilated, destroyed, lost or stolen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the Registrar and those described in this Section 2.10 as not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2.9, it ceases to be outstanding unless the Trustee receives proof satisfactory to it that the replaced Security is held by a bona fide purchaser.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or otherwise acquire the Securities, whether by open market purchases, negotiated transactions or otherwise. A Security does not cease to be outstanding because the Company or an Affiliate of the Company holds the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Securities of a Series that a Responsible Officer of the Trustee actually knows are so owned shall be so disregarded.</w:t>
      </w:r>
    </w:p>
    <w:p>
      <w:pPr>
        <w:pStyle w:val="TextBody"/>
        <w:bidi w:val="0"/>
        <w:spacing w:before="240" w:after="240"/>
        <w:ind w:left="240" w:right="240" w:firstLine="1102"/>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 owned which have been pledged in good faith shall not be disregarded if the pledgee establishes to the satisfaction of the Trustee the pledgee’s right to deliver any such request, demand, authorization, direction, notice, consent or waiver with respect to the Securities and that the pledgee is not the Company or any other obligor upon the Securities or any Affiliate of the Company or of such other obligor.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if not the Trustee, shall forward to the Trustee any Securities surrendered to them for registration of transfer, exchange or payment. The Trustee shall cancel all Securities surrendered for transfer, exchange, payment, replacement, conversion or cancellation and shall dispose of such canceled Securities (subject to the record retention requirement of the Exchange Act and the Trustee) in accordance with its customary procedures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may pay the defaulted interest, plus, to the extent permitted by law, any interest payable on the defaulted interest, to the persons who are Securityholders of the Series on a subsequent special record date. The Company shall fix the record date and payment date. At least ten days before the special record date, the Company shall mail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2.15.1. </w:t>
      </w:r>
      <w:r>
        <w:rPr>
          <w:rFonts w:ascii="Times New Roman;Times;Serif" w:hAnsi="Times New Roman;Times;Serif"/>
          <w:b w:val="false"/>
          <w:i w:val="false"/>
          <w:caps w:val="false"/>
          <w:smallCaps w:val="false"/>
          <w:sz w:val="20"/>
          <w:u w:val="single"/>
        </w:rPr>
        <w:t>Terms of Securities</w:t>
      </w:r>
      <w:r>
        <w:rPr>
          <w:rFonts w:ascii="Times New Roman;Times;Serif" w:hAnsi="Times New Roman;Times;Serif"/>
          <w:b w:val="false"/>
          <w:i w:val="false"/>
          <w:caps w:val="false"/>
          <w:smallCaps w:val="false"/>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2.8 of this Indenture and in addition thereto, any Global Security shall be exchangeable pursuant to Section 2.8 of this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determines in its sole discretion not to have such Securities represented by one or more Global Securities and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240" w:after="240"/>
        <w:ind w:left="240" w:right="240" w:firstLine="1102"/>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2.15.2,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120" w:after="120"/>
        <w:ind w:left="120" w:right="120" w:firstLine="1102"/>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2.15.6. </w:t>
      </w:r>
      <w:r>
        <w:rPr>
          <w:rFonts w:ascii="Times New Roman;Times;Serif" w:hAnsi="Times New Roman;Times;Serif"/>
          <w:b w:val="false"/>
          <w:i w:val="false"/>
          <w:caps w:val="false"/>
          <w:smallCaps w:val="false"/>
          <w:sz w:val="20"/>
          <w:u w:val="single"/>
        </w:rPr>
        <w:t>Consents, Declaration and Directions</w:t>
      </w:r>
      <w:r>
        <w:rPr>
          <w:rFonts w:ascii="Times New Roman;Times;Serif" w:hAnsi="Times New Roman;Times;Serif"/>
          <w:b w:val="false"/>
          <w:i w:val="false"/>
          <w:caps w:val="false"/>
          <w:smallCaps w:val="false"/>
          <w:sz w:val="20"/>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val="false"/>
          <w:caps w:val="false"/>
          <w:smallCaps w:val="false"/>
          <w:sz w:val="20"/>
          <w:u w:val="single"/>
        </w:rPr>
        <w:t>Evidence of Ownership</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Notice to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to the Trustee at least 45 days before the redemption date, unless a shorter period is satisfactory to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including selecting by lot or other method, unless otherwise required by law or applicable stock exchange requirements, subject, in the case of Global Securities, to the applicable rules and procedures of the Depositary;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unredeemed portion of the principal amount of any Security shall be in an authorized denomination (which shall not be less than the minimum authorized denomination) for such Security. The Trustee shall make the selection from Securities of the Series outstanding not previously called for redemption. Provisions of this Indenture that apply to Securities of a Series called for redemption also apply to portions of Securities of that Series called for redemption.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 and, if applicable, the conversion Agent;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convertible Securities, the conversion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Securities of the Series (or portion thereof) called for redemption must be surrendered to the Paying Agent to collect the redemption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interest on Securities of the Series called for redemption ceases to accrue on and after the redemption date unless the Company defaults in the deposit of the redemption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CUSIP number, if any, and state that no representation is made as to the correctness or accuracy of the CUSIP number, if any, listed in the SEC’s notice or printed on the Securities;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information as may be required by the terms of the particular Series or the Securities of a Series being redeemed.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has delivered to the Trustee, at least 15 days (unless a shorter time shall be acceptable to the Trustee) prior to the notice date, an Officer’s Certificate requesting that the Trustee give such notice and setting forth the information to be stated in such notice.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other than Securities or portions of Securities called for redemption which have been delivered by the Company to the Registrar for cancellation. The Paying Agent shall return to the Company any money not required for that purpose.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shall default in the payment of Securities (and accrued interest) called for redemption, interest on such Securities shall cease to accrue after the redemption date. Convertible Securities called for redemption shall cease to be convertible after the close of business on the Business Day immediately preceding the redemption date, unless the Company shall default in the payment of such Securities on the redemption date, in which event the Securities shall remain convertible until paid (together with accrued interest).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give notice of redemption, or any defect in such notice to the Holder of any Security of a Series designated for redemption, in whole or in part, shall not affect the sufficiency of any notice of redemption with respect to the Holder of any other Security of such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the Company shall deposit with the Paying Agent money sufficient to pay the redemption price of and accrued interest, if any, on all Securities to be redeemed on that date.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Principal and interest shall be considered paid on the date due if the Paying Agent holds in accordance with this Indenture on that date money sufficient to pay all principal and interest then due and the Paying Agent is not prohibited from paying such money to the Holders on such date pursuant to the terms of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Reports by Company</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long as any Securities are outstanding, the Company shall file with the Trustee, and transmit to the Holders, such information, documents and other reports, and such summaries thereof, as may be required pursuant to TIA § 314(a). All reports, information and documents referred to in this Section 4.2 will be deemed to be filed with the Trustee and transmitted to the Holders at the time such reports, information or documents are publicly filed with the SEC via the SEC’s EDGAR filing system (or any successor system), it being understood that the Trustee shall have no responsibility whatsoever to determine if such filings have been made.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reports, information and documents to the Trustee under this Section 4.2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Securities of a Series are outstanding, the Company shall deliver to the Trustee, within 120 days after the end of each fiscal year of the Company, an Officer’s Certificate (which need not contain the statements provided for in Section 10.4)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rights (charter and statutory);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with or merge with or into, sell, convey, transfer or dispose of all or substantially all of its assets to any other person (a “</w:t>
      </w:r>
      <w:r>
        <w:rPr>
          <w:rFonts w:ascii="Times New Roman;Times;Serif" w:hAnsi="Times New Roman;Times;Serif"/>
          <w:b w:val="false"/>
          <w:i/>
          <w:caps w:val="false"/>
          <w:smallCaps w:val="false"/>
          <w:sz w:val="20"/>
        </w:rPr>
        <w:t>successor person</w:t>
      </w:r>
      <w:r>
        <w:rPr>
          <w:rFonts w:ascii="Times New Roman;Times;Serif" w:hAnsi="Times New Roman;Times;Serif"/>
          <w:b w:val="false"/>
          <w:i w:val="false"/>
          <w:caps w:val="false"/>
          <w:smallCaps w:val="false"/>
          <w:sz w:val="20"/>
        </w:rPr>
        <w:t>”), whether in one transaction or a series of related transactions, unless: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is the surviving corporation or (ii) the successor person (if other than the Company) (A) is a corporation, limited liability corporation, partnership or trust organized under the laws of the United States; and (B) expressly assumes, by an indenture supplemental hereto, the Company’s obligations on the Securities and under this Indenture;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happened and be continuing.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prior to the consummation of the proposed transaction an Officer’s Certificate to the foregoing effect and an Opinion of Counsel stating that the proposed transaction and any supplemental indenture comply with Section 5.1 of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Successor Person Substituted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conveyance, transfer, or lease of all or substantially all of the assets of the Company and its Subsidiaries in accordance with Section 5.1, the successor person formed by such consolidation or into or with which the Company is merged or to which such sale, conveyance, transfer, or lease is made shall succeed to, and be substituted for, and may exercise every right and power of, the Company under this Indenture and the Securities with the same effect as if such successor person has been named as the Company herein; and, thereafter, the predecessor Company, in the case of a sale, conveyance or transfer (other than a lease), shall be released from all obligations and covenants under this Indenture and the Securities.</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AND REMEDIES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(a) failure to pay any interest on any Security of that Series when it becomes due and payable, and continuance of such default for a period of 30 days (unless the entire amount of such payment is deposited by the Company with the Trustee or with a Paying Agent prior to 10:00 a.m., New York City time, on the 30</w:t>
      </w:r>
      <w:r>
        <w:rPr>
          <w:rFonts w:ascii="Times New Roman;Times;Serif" w:hAnsi="Times New Roman;Times;Serif"/>
          <w:b w:val="false"/>
          <w:i w:val="false"/>
          <w:caps w:val="false"/>
          <w:smallCaps w:val="false"/>
          <w:sz w:val="15"/>
        </w:rPr>
        <w:t>th</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0"/>
        </w:rPr>
        <w:t>day of such period);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pay principal of any Security of that Series at its Maturity;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performance or breach of any covenant of the Company in this Indenture (other than defaults pursuant to sub-clauses (a) through (c) above or defaults related to a covenant that has been included in this Indenture solely for the benefit of a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pursuant to or within the meaning of any Bankruptcy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court of competent jurisdiction enters an order or decree under any Bankruptcy Law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days;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with respect to Securities of that Series, which is specified in a Board Resolution, a supplemental indenture hereto or an Officer’s Certificate, in accordance with Section 2.2.18.</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 The term “</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Securities issued under this Indenture will not necessarily be a default under another Series of Securities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so long as any of the Securities are outstanding, deliver to the Trustee, within 30 days of becoming aware of any Default or Event of Default, an Officer’s Certificate specifying such Default or Event of Default and what action the Company is taking or proposes to take with respect thereto.</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become and be immediately due and payable without any declaration or other act on the part of the Trustee or any Holder.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is made in the deposit of any sinking fund payment, if any, when and as due by the terms of a Security,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relating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Application of Money Collected.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to the Trustee under this Indenture;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25% in principal amount of the outstanding Securities of that Series have made written request to the Trustee to institute proceedings in respect of such Event of Default in its own name as Trustee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has failed to institute any such proceeding for 60 days after its receipt of such notice, request and offer of indemnity;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principal amount of the outstanding Securities of that Series;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does not have an affirmative duty to ascertain whether or not such actions or forbearances are unduly prejudicial to such 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has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taking any action as directed under this Section 6.12, the Trustee shall be entitled to indemnity satisfactory to it against the costs, expenses and liabilities which might be incurred by it in compliance with such request or direction.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sub-clause (c) does not limit the effect of sub-clause (b) of this Section 7.1.</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sub-clauses (a), (b) and (c) of this Section 7.1.</w:t>
      </w:r>
    </w:p>
    <w:p>
      <w:pPr>
        <w:pStyle w:val="TextBody"/>
        <w:bidi w:val="0"/>
        <w:spacing w:before="120" w:after="120"/>
        <w:ind w:left="120" w:right="120" w:firstLine="49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indemnity satisfactory to it against the costs, expenses and liabilities which might be incurred by it in performing such duty or exercising such right or power.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protections and immunities as are set forth in sub-clauses (e), (f) and (g) of this Section 7.1 and in Section 7.2, each with respect to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shall be entitled to receive an Officer’s Certificate or an Opinion of Counsel or both. The Trustee shall not be liable for any action it takes or omits to take in good faith in conclusive reliance on such Officer’s Certificate or Opinion of Counsel.</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 direction of any of the Holders of Securities unless such Holders shall have offered to the Trustee security or indemnity reasonably satisfactory to it against the costs, expenses and liabilities which might be incurred by it in compliance with such request or direction.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shall incur no liability or additional liability of any kind by reason of such inquiry or investigation.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 of the Trustee to take the actions permitted by this Indenture shall not be construed as an obligation or duty to do so.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request that the Company deliver a certificate setting forth the names of individuals and/or titles of officers authorized at such time to take specified actions pursuant to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of the Company with the same rights it would have if it were not Trustee. Any Agent may do the same with like rights. However, the Trustee is also subject to Sections 7.10 and 7.11 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Reports by Trustee to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after each anniversary of the date of this Indenture, the Trustee shall transmit by mail to all Securityholders, as their names and addresses appear on the register kept by the Registrar, a brief report dated as of such reporting date, in accordance with, and to the extent required under, TIA § 313.</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of any delisting thereof.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each of the Trustee and any predecessor Trustee against any cost, expense, claim (whether asserted by the Company, a Holder or any other person) or liability (including the cost of defending itself), including taxes (other than taxes based upon, measured by or determined by the income of the Trustee), incurred by it except as set forth in the next paragraph in the performance of its duties under this Indenture as Trustee or Agent.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or shareholder of the Trustee through willful misconduct or negligence.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6.1(f) or (g) occurs, the expenses and the compensation for the services are intended to constitute expenses of administration under any Bankruptcy Law.</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7.7 shall survive the termination of this Indenture or the resignation or removal of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7.8.</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at any time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The Company may remove the Trustee with respect to Securities of one or more Series if:</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30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at the expense of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if such successor corporation is eligible and qualified under Section 7.10.</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DEFEASANCE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8.1), and the Trustee, at the expense of the Company, shall execute instruments acknowledging satisfaction and discharge of this Indenture, when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as provided in Section 2.9) have been delivered to the Trustee for cancellation;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one year,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have been called for redemption or are to be called for redemption within one year under arrangements satisfactory to the Trustee for the giving of notice of redemption by the Trustee in the name, and at the expense, of the Company; and the Company, in the case of (1), (2) or (3) above, has irrevocably deposited or caused to be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7.7, and, if money shall have been deposited with the Trustee pursuant to sub-clause (a) of this Section 8.1, the provisions of Sections 2.5, 2.8, 2.9, 8.2 and 8.5 shall survive.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Application of Trust Funds; Indemnification</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8.5, all money or U.S. Government Obligations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Legal Defeasance of Securities of any Series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sub-clause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sub-clause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2.5, 2.8, 2.9, 8.2, 8.3 and 8.5;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and the Company’s obligations in connection therewith; provided that, the following conditions shall have been satisfied: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delivered to the Trustee an Officer’s Certificate and an Opinion of Counsel, each stating that all conditions precedent provided for relating to the defeasance contemplated by this Section 8.3 have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8.4 is otherwise specified pursuant to Section 2.2 to be inapplicable to Securities of any Series, the Company may omit to comply with respect to the Securities of any Series with any term, provision or condition set forth under Sections 4.2 and 4.3, 4.4 and 5.1as well as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120" w:after="120"/>
        <w:ind w:left="120" w:right="120" w:firstLine="49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to the effect that Holders of the Securities of such Series will not recognize income, gain or loss for U.S. federal income tax purposes as a result of such deposit and covenant defeasance and will be subject to U.S. federal income tax on the same amounts, in the same manner and at the same times as would have been the case if such deposit and covenant defeasance had not occurred;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covenant defeasance contemplated by this Section 8.4 have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 the Trustee and the Paying Agent shall pay to the Company upon request any money held by them for the payment of principal or interest that remains unclaimed for two years after such principal or interest has become due and payable. After that, Securityholders entitled to the money must look to the Company for payment as general creditors unless an applicable abandoned property law designates another person.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add guarantees with respect to any Series of Securities or secure any Series of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surrender any of the Company’s rights or powers under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covenants or Events of Default for the benefit of the Securityholders of any Series of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comply with the applicable rules or procedures of the Depositary;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cure any ambiguity, defect or inconsistency, as described in the Officer’s Certificate delivered pursuant to Section 10.4;</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comply with Article V;</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uncertificated Securities in addition to or in place of certificated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any change that does not materially adversely affect the rights of any Securityholder;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provide for the issuance of and establish the form and terms and conditions of Securities of any Series as permitted by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comply with requirements of the SEC in order to effect or maintain the qualification of this Indenture under the TIA;</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comply with the rules or regulations of any securities exchange or automated quotation system on which any of the Securities may be listed or traded;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change or eliminate any of the provisions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such change or elimination shall not be effective with respect to any outstanding Securities of any Series created prior to the execution of such supplemental indenture which is entitled to the benefit of such provision.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written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9.2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Securities whose Holders must consent to an amendment, supplement or waiver;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time for payment of interest (including default interest) on any Security or that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change the Stated Maturity of, any Security or reduce the amount of, or postpone the date fixed for, the payment of any sinking fund or analogous obligation;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amount of Discount Securities payable upon acceleration of the maturity thereof;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waive a Default or Event of Default in the payment of the principal of or interest, if any, on any Security (except a rescission of acceleration of the Securities of any Series by the Holders of at least a majority in principal amount of the then outstanding Securities of such Series and a waiver of the payment default that resulted from such acceleration);</w:t>
      </w:r>
    </w:p>
    <w:p>
      <w:pPr>
        <w:pStyle w:val="TextBody"/>
        <w:bidi w:val="0"/>
        <w:spacing w:before="120" w:after="120"/>
        <w:ind w:left="120" w:right="12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the principal of or interest, if any, on any Security payable in any currency other than that stated in the Security;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change in Sections 6.8 or 6.13 or this Section 9.3;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redemption payment with respect to any Security.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w:t>
      </w:r>
      <w:r>
        <w:rPr>
          <w:rFonts w:ascii="Times New Roman;Times;Serif" w:hAnsi="Times New Roman;Times;Serif"/>
          <w:b w:val="false"/>
          <w:i w:val="false"/>
          <w:caps w:val="false"/>
          <w:smallCaps w:val="false"/>
          <w:sz w:val="20"/>
          <w:u w:val="single"/>
        </w:rPr>
        <w:t>Compliance with Trust Indenture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sub-clauses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receive, and (subject to Section 7.1) shall be fully protected in conclusively relying upon, an Officer’s Certificate or an Opinion of Counsel or both complying with Section 10.4 and stating that the supplemental indenture is the legal, valid and binding obligation of the Company, enforceable against the Company in accordance with its terms, subject to customary exceptions. The Trustee shall sign all supplemental indentures upon delivery of such an Officer’s Certificate or Opinion of Counsel or both, except that the Trustee need not sign any supplemental indenture that, in its sole discretion, adversely affects its rights.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notice or communication by the Company or the Trustee to the other, or by a Holder to the Company or the Trustee, is duly given if in writing and delivered in person or mailed by first-class mail:</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 Suite 125</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 94588</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bl>
      <w:tblPr>
        <w:tblW w:w="2305" w:type="dxa"/>
        <w:jc w:val="left"/>
        <w:tblInd w:w="0" w:type="dxa"/>
        <w:tblLayout w:type="fixed"/>
        <w:tblCellMar>
          <w:top w:w="0" w:type="dxa"/>
          <w:left w:w="0" w:type="dxa"/>
          <w:bottom w:w="0" w:type="dxa"/>
          <w:right w:w="0" w:type="dxa"/>
        </w:tblCellMar>
      </w:tblPr>
      <w:tblGrid>
        <w:gridCol w:w="1370"/>
        <w:gridCol w:w="60"/>
        <w:gridCol w:w="875"/>
      </w:tblGrid>
      <w:tr>
        <w:trPr/>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Trustee: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r>
    </w:tbl>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for subsequent notices or communications.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shall mail a copy to the Trustee and each Agent at the same time.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hereto for a particular Series, a “</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stockholder (past or present),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240" w:after="240"/>
        <w:ind w:left="240" w:right="240" w:firstLine="110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Governing Law; Jury Trial Waiver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INDENTURE AND THE SECURITIES, INCLUDING ANY CLAIM OR CONTROVERSY ARISING OUT OF OR RELATING TO THIS INDENTURE OR THE SECURITIES, SHALL BE GOVERNED BY THE LAWS OF THE STATE OF NEW YORK (WITHOUT REGARD TO THE CONFLICTS OF LAWS PROVISIONS THEREOF OTHER THAN SECTION 5-1401 OF THE GENERAL OBLIGATIONS LAW).</w:t>
      </w:r>
    </w:p>
    <w:p>
      <w:pPr>
        <w:pStyle w:val="TextBody"/>
        <w:bidi w:val="0"/>
        <w:spacing w:before="240" w:after="240"/>
        <w:ind w:left="240" w:right="240" w:firstLine="11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val="false"/>
          <w:caps w:val="false"/>
          <w:smallCaps w:val="false"/>
          <w:sz w:val="20"/>
          <w:u w:val="single"/>
        </w:rPr>
        <w:t>Securities in a Foreign Currency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Times;Serif" w:hAnsi="Times New Roman;Times;Serif"/>
          <w:b w:val="false"/>
          <w:i/>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w:t>
      </w:r>
      <w:r>
        <w:rPr>
          <w:rFonts w:ascii="Times New Roman;Times;Serif" w:hAnsi="Times New Roman;Times;Serif"/>
          <w:b w:val="false"/>
          <w:i/>
          <w:caps w:val="false"/>
          <w:smallCaps w:val="false"/>
          <w:sz w:val="20"/>
        </w:rPr>
        <w:t>mandatory sinking fund payment</w:t>
      </w:r>
      <w:r>
        <w:rPr>
          <w:rFonts w:ascii="Times New Roman;Times;Serif" w:hAnsi="Times New Roman;Times;Serif"/>
          <w:b w:val="false"/>
          <w:i w:val="false"/>
          <w:caps w:val="false"/>
          <w:smallCaps w:val="false"/>
          <w:sz w:val="20"/>
        </w:rPr>
        <w:t>” and any other amount provided for by the terms of Securities of such Series is herein referred to as an “</w:t>
      </w:r>
      <w:r>
        <w:rPr>
          <w:rFonts w:ascii="Times New Roman;Times;Serif" w:hAnsi="Times New Roman;Times;Serif"/>
          <w:b w:val="false"/>
          <w:i/>
          <w:caps w:val="false"/>
          <w:smallCaps w:val="false"/>
          <w:sz w:val="20"/>
        </w:rPr>
        <w:t>optional sinking fund payment</w:t>
      </w:r>
      <w:r>
        <w:rPr>
          <w:rFonts w:ascii="Times New Roman;Times;Serif" w:hAnsi="Times New Roman;Times;Serif"/>
          <w:b w:val="false"/>
          <w:i w:val="false"/>
          <w:caps w:val="false"/>
          <w:smallCaps w:val="false"/>
          <w:sz w:val="20"/>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repurchased by the Company or redeemed either at the election of the Company pursuant to the terms of the Securities of such Series (except pursuant to any mandatory sinking fund) or through the application of permitted optional sinking fund payments or other optional redemptions pursuant to the terms of such Securities, provided that such Securities have not been previously so credited.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firstLine="1102"/>
        <w:jc w:val="left"/>
        <w:rPr>
          <w:caps w:val="false"/>
          <w:smallCaps w:val="false"/>
        </w:rPr>
      </w:pPr>
      <w:r>
        <w:rPr>
          <w:caps w:val="false"/>
          <w:smallCaps w:val="false"/>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240" w:after="240"/>
        <w:ind w:left="240" w:right="240" w:firstLine="1102"/>
        <w:jc w:val="left"/>
        <w:rPr>
          <w:caps w:val="false"/>
          <w:smallCaps w:val="false"/>
        </w:rPr>
      </w:pPr>
      <w:r>
        <w:rPr>
          <w:caps w:val="false"/>
          <w:smallCaps w:val="false"/>
        </w:rPr>
        <w:t> </w:t>
      </w:r>
    </w:p>
    <w:tbl>
      <w:tblPr>
        <w:tblW w:w="1849" w:type="dxa"/>
        <w:jc w:val="left"/>
        <w:tblInd w:w="0" w:type="dxa"/>
        <w:tblLayout w:type="fixed"/>
        <w:tblCellMar>
          <w:top w:w="0" w:type="dxa"/>
          <w:left w:w="0" w:type="dxa"/>
          <w:bottom w:w="0" w:type="dxa"/>
          <w:right w:w="0" w:type="dxa"/>
        </w:tblCellMar>
      </w:tblPr>
      <w:tblGrid>
        <w:gridCol w:w="75"/>
        <w:gridCol w:w="604"/>
        <w:gridCol w:w="113"/>
        <w:gridCol w:w="1057"/>
      </w:tblGrid>
      <w:tr>
        <w:trPr/>
        <w:tc>
          <w:tcPr>
            <w:tcW w:w="75" w:type="dxa"/>
            <w:tcBorders/>
            <w:vAlign w:val="center"/>
          </w:tcPr>
          <w:p>
            <w:pPr>
              <w:pStyle w:val="TableContents"/>
              <w:bidi w:val="0"/>
              <w:spacing w:before="0" w:after="283"/>
              <w:ind w:left="0" w:right="0" w:hanging="200"/>
              <w:jc w:val="left"/>
              <w:rPr/>
            </w:pPr>
            <w:r>
              <w:rPr/>
              <w:t> </w:t>
            </w:r>
          </w:p>
        </w:tc>
        <w:tc>
          <w:tcPr>
            <w:tcW w:w="17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AEYE, INC., as Issuer</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c>
          <w:tcPr>
            <w:tcW w:w="1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c>
          <w:tcPr>
            <w:tcW w:w="1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r>
      <w:tr>
        <w:trPr/>
        <w:tc>
          <w:tcPr>
            <w:tcW w:w="75"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Trustee</w:t>
            </w:r>
          </w:p>
        </w:tc>
      </w:tr>
    </w:tbl>
    <w:p>
      <w:pPr>
        <w:pStyle w:val="TextBody"/>
        <w:bidi w:val="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6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76" w:before="0" w:after="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TextBody"/>
        <w:bidi w:val="0"/>
        <w:spacing w:before="60" w:after="60"/>
        <w:jc w:val="left"/>
        <w:rPr>
          <w:bdr w:val="single" w:sz="16" w:space="1" w:color="000000"/>
        </w:rPr>
      </w:pPr>
      <w:r>
        <w:rPr>
          <w:bdr w:val="single" w:sz="16" w:space="1" w:color="000000"/>
        </w:rPr>
        <w:t> </w:t>
      </w:r>
    </w:p>
    <w:p>
      <w:pPr>
        <w:pStyle w:val="TextBody"/>
        <w:bidi w:val="0"/>
        <w:jc w:val="center"/>
        <w:rPr>
          <w:rFonts w:ascii="Times New Roman;Times;Serif" w:hAnsi="Times New Roman;Times;Serif"/>
          <w:b w:val="false"/>
          <w:i w:val="false"/>
          <w:caps w:val="false"/>
          <w:smallCaps w:val="false"/>
          <w:sz w:val="24"/>
        </w:rPr>
      </w:pPr>
      <w:bookmarkStart w:id="23" w:name="ss6342442_ex0414.htm"/>
      <w:bookmarkStart w:id="24" w:name="ksss6342442_ex0414"/>
      <w:bookmarkEnd w:id="23"/>
      <w:bookmarkEnd w:id="24"/>
      <w:r>
        <w:rPr>
          <w:rFonts w:ascii="Times New Roman;Times;Serif" w:hAnsi="Times New Roman;Times;Serif"/>
          <w:b w:val="false"/>
          <w:i w:val="false"/>
          <w:caps w:val="false"/>
          <w:smallCaps w:val="false"/>
          <w:sz w:val="24"/>
        </w:rPr>
        <w:t>FORM OF INDENTURE FOR SUBORDINATED</w:t>
      </w:r>
      <w:r>
        <w:br w:type="page"/>
      </w:r>
    </w:p>
    <w:p>
      <w:pPr>
        <w:pStyle w:val="TextBody"/>
        <w:bidi w:val="0"/>
        <w:spacing w:before="240" w:after="240"/>
        <w:ind w:left="240" w:right="24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4.14</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Securities</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6247" w:type="dxa"/>
        <w:jc w:val="left"/>
        <w:tblInd w:w="0" w:type="dxa"/>
        <w:tblLayout w:type="fixed"/>
        <w:tblCellMar>
          <w:top w:w="0" w:type="dxa"/>
          <w:left w:w="0" w:type="dxa"/>
          <w:bottom w:w="0" w:type="dxa"/>
          <w:right w:w="0" w:type="dxa"/>
        </w:tblCellMar>
      </w:tblPr>
      <w:tblGrid>
        <w:gridCol w:w="80"/>
        <w:gridCol w:w="64"/>
        <w:gridCol w:w="1169"/>
        <w:gridCol w:w="64"/>
        <w:gridCol w:w="4385"/>
        <w:gridCol w:w="60"/>
        <w:gridCol w:w="72"/>
        <w:gridCol w:w="278"/>
        <w:gridCol w:w="75"/>
      </w:tblGrid>
      <w:tr>
        <w:trPr/>
        <w:tc>
          <w:tcPr>
            <w:tcW w:w="8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right"/>
              <w:rPr>
                <w:rFonts w:ascii="Times New Roman;Times;Serif" w:hAnsi="Times New Roman;Times;Serif"/>
                <w:sz w:val="16"/>
                <w:u w:val="single"/>
              </w:rPr>
            </w:pPr>
            <w:r>
              <w:rPr>
                <w:rFonts w:ascii="Times New Roman;Times;Serif" w:hAnsi="Times New Roman;Times;Serif"/>
                <w:sz w:val="16"/>
                <w:u w:val="single"/>
              </w:rPr>
              <w:t>Page</w:t>
            </w:r>
          </w:p>
        </w:tc>
        <w:tc>
          <w:tcPr>
            <w:tcW w:w="75" w:type="dxa"/>
            <w:tcBorders/>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INCORPORATION BY REFERENCE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Issuable in Series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Terms of Series of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Provision for Payment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 in Trust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Lists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2.16.</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2.17.</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Ownership</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5762" w:type="dxa"/>
            <w:gridSpan w:val="5"/>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ind w:left="0" w:right="0" w:hanging="200"/>
              <w:jc w:val="left"/>
              <w:rPr/>
            </w:pPr>
            <w:r>
              <w:rPr/>
              <w:t> </w:t>
            </w:r>
          </w:p>
        </w:tc>
      </w:tr>
      <w:tr>
        <w:trPr/>
        <w:tc>
          <w:tcPr>
            <w:tcW w:w="5762"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REDEMPTION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left"/>
              <w:rPr/>
            </w:pPr>
            <w:r>
              <w:rPr/>
              <w:t> </w:t>
            </w:r>
          </w:p>
        </w:tc>
        <w:tc>
          <w:tcPr>
            <w:tcW w:w="4449" w:type="dxa"/>
            <w:gridSpan w:val="2"/>
            <w:tcBorders/>
            <w:vAlign w:val="center"/>
          </w:tcPr>
          <w:p>
            <w:pPr>
              <w:pStyle w:val="TableContents"/>
              <w:bidi w:val="0"/>
              <w:spacing w:before="0" w:after="283"/>
              <w:jc w:val="left"/>
              <w:rPr/>
            </w:pPr>
            <w:r>
              <w:rPr/>
              <w:t> </w:t>
            </w:r>
          </w:p>
        </w:tc>
        <w:tc>
          <w:tcPr>
            <w:tcW w:w="485" w:type="dxa"/>
            <w:gridSpan w:val="4"/>
            <w:tcBorders/>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Trustee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Securities to be Redeemed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5762" w:type="dxa"/>
            <w:gridSpan w:val="5"/>
            <w:tcBorders/>
            <w:shd w:fill="FFFFFF" w:val="clear"/>
            <w:vAlign w:val="center"/>
          </w:tcPr>
          <w:p>
            <w:pPr>
              <w:pStyle w:val="TableContents"/>
              <w:bidi w:val="0"/>
              <w:spacing w:before="0" w:after="283"/>
              <w:jc w:val="left"/>
              <w:rPr/>
            </w:pPr>
            <w:r>
              <w:rPr/>
              <w:t> </w:t>
            </w:r>
          </w:p>
        </w:tc>
        <w:tc>
          <w:tcPr>
            <w:tcW w:w="485" w:type="dxa"/>
            <w:gridSpan w:val="4"/>
            <w:tcBorders/>
            <w:shd w:fill="FFFFFF" w:val="clear"/>
            <w:vAlign w:val="center"/>
          </w:tcPr>
          <w:p>
            <w:pPr>
              <w:pStyle w:val="TableContents"/>
              <w:bidi w:val="0"/>
              <w:spacing w:before="0" w:after="283"/>
              <w:ind w:left="0" w:right="0" w:hanging="200"/>
              <w:jc w:val="left"/>
              <w:rPr/>
            </w:pPr>
            <w:r>
              <w:rPr/>
              <w:t> </w:t>
            </w:r>
          </w:p>
        </w:tc>
      </w:tr>
      <w:tr>
        <w:trPr/>
        <w:tc>
          <w:tcPr>
            <w:tcW w:w="5762"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COVENANTS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4449" w:type="dxa"/>
            <w:gridSpan w:val="2"/>
            <w:tcBorders/>
            <w:shd w:fill="FFFFFF" w:val="clear"/>
            <w:vAlign w:val="center"/>
          </w:tcPr>
          <w:p>
            <w:pPr>
              <w:pStyle w:val="TableContents"/>
              <w:bidi w:val="0"/>
              <w:spacing w:before="0" w:after="283"/>
              <w:jc w:val="left"/>
              <w:rPr/>
            </w:pPr>
            <w:r>
              <w:rPr/>
              <w:t> </w:t>
            </w:r>
          </w:p>
        </w:tc>
        <w:tc>
          <w:tcPr>
            <w:tcW w:w="485" w:type="dxa"/>
            <w:gridSpan w:val="4"/>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Company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200"/>
              <w:jc w:val="left"/>
              <w:rPr/>
            </w:pPr>
            <w:r>
              <w:rPr/>
              <w:t> </w:t>
            </w:r>
          </w:p>
        </w:tc>
        <w:tc>
          <w:tcPr>
            <w:tcW w:w="1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64" w:type="dxa"/>
            <w:tcBorders/>
            <w:shd w:fill="FFFFFF" w:val="clear"/>
            <w:vAlign w:val="center"/>
          </w:tcPr>
          <w:p>
            <w:pPr>
              <w:pStyle w:val="TableContents"/>
              <w:bidi w:val="0"/>
              <w:spacing w:before="0" w:after="283"/>
              <w:ind w:left="0" w:right="0" w:hanging="200"/>
              <w:jc w:val="left"/>
              <w:rPr/>
            </w:pPr>
            <w:r>
              <w:rPr/>
              <w:t> </w:t>
            </w:r>
          </w:p>
        </w:tc>
        <w:tc>
          <w:tcPr>
            <w:tcW w:w="4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200"/>
              <w:jc w:val="left"/>
              <w:rPr/>
            </w:pPr>
            <w:r>
              <w:rPr/>
              <w:t> </w:t>
            </w:r>
          </w:p>
        </w:tc>
        <w:tc>
          <w:tcPr>
            <w:tcW w:w="1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64" w:type="dxa"/>
            <w:tcBorders/>
            <w:shd w:fill="CCEEFF" w:val="clear"/>
            <w:vAlign w:val="center"/>
          </w:tcPr>
          <w:p>
            <w:pPr>
              <w:pStyle w:val="TableContents"/>
              <w:bidi w:val="0"/>
              <w:spacing w:before="0" w:after="283"/>
              <w:ind w:left="0" w:right="0" w:hanging="200"/>
              <w:jc w:val="left"/>
              <w:rPr/>
            </w:pPr>
            <w:r>
              <w:rPr/>
              <w:t> </w:t>
            </w:r>
          </w:p>
        </w:tc>
        <w:tc>
          <w:tcPr>
            <w:tcW w:w="4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75"/>
        <w:gridCol w:w="60"/>
        <w:gridCol w:w="1085"/>
        <w:gridCol w:w="60"/>
        <w:gridCol w:w="5285"/>
        <w:gridCol w:w="60"/>
        <w:gridCol w:w="60"/>
        <w:gridCol w:w="230"/>
        <w:gridCol w:w="75"/>
      </w:tblGrid>
      <w:tr>
        <w:trPr/>
        <w:tc>
          <w:tcPr>
            <w:tcW w:w="6565"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6565"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SUCCESSORS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534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Consolidation, Merger and Sale of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Person Substituted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565"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DEFAULTS AND REMEDIES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534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Unconditional Right of Holders to Receive Principal and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FFFFFF" w:val="clear"/>
            <w:vAlign w:val="center"/>
          </w:tcPr>
          <w:p>
            <w:pPr>
              <w:pStyle w:val="TableContents"/>
              <w:bidi w:val="0"/>
              <w:spacing w:before="0" w:after="283"/>
              <w:jc w:val="left"/>
              <w:rPr/>
            </w:pPr>
            <w:r>
              <w:rPr/>
              <w:t> </w:t>
            </w:r>
          </w:p>
        </w:tc>
      </w:tr>
      <w:tr>
        <w:trPr/>
        <w:tc>
          <w:tcPr>
            <w:tcW w:w="6565"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6565"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534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Trustee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 Etc.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0" w:type="dxa"/>
            <w:tcBorders/>
            <w:shd w:fill="CCEEFF" w:val="clear"/>
            <w:vAlign w:val="center"/>
          </w:tcPr>
          <w:p>
            <w:pPr>
              <w:pStyle w:val="TableContents"/>
              <w:bidi w:val="0"/>
              <w:spacing w:before="0" w:after="283"/>
              <w:ind w:left="0" w:right="0" w:hanging="200"/>
              <w:jc w:val="left"/>
              <w:rPr/>
            </w:pPr>
            <w:r>
              <w:rPr/>
              <w:t> </w:t>
            </w:r>
          </w:p>
        </w:tc>
        <w:tc>
          <w:tcPr>
            <w:tcW w:w="5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0" w:type="dxa"/>
            <w:tcBorders/>
            <w:shd w:fill="FFFFFF" w:val="clear"/>
            <w:vAlign w:val="center"/>
          </w:tcPr>
          <w:p>
            <w:pPr>
              <w:pStyle w:val="TableContents"/>
              <w:bidi w:val="0"/>
              <w:spacing w:before="0" w:after="283"/>
              <w:ind w:left="0" w:right="0" w:hanging="200"/>
              <w:jc w:val="left"/>
              <w:rPr/>
            </w:pPr>
            <w:r>
              <w:rPr/>
              <w:t> </w:t>
            </w:r>
          </w:p>
        </w:tc>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023" w:type="dxa"/>
        <w:jc w:val="left"/>
        <w:tblInd w:w="0" w:type="dxa"/>
        <w:tblLayout w:type="fixed"/>
        <w:tblCellMar>
          <w:top w:w="0" w:type="dxa"/>
          <w:left w:w="0" w:type="dxa"/>
          <w:bottom w:w="0" w:type="dxa"/>
          <w:right w:w="0" w:type="dxa"/>
        </w:tblCellMar>
      </w:tblPr>
      <w:tblGrid>
        <w:gridCol w:w="87"/>
        <w:gridCol w:w="70"/>
        <w:gridCol w:w="1144"/>
        <w:gridCol w:w="70"/>
        <w:gridCol w:w="4227"/>
        <w:gridCol w:w="60"/>
        <w:gridCol w:w="60"/>
        <w:gridCol w:w="230"/>
        <w:gridCol w:w="75"/>
      </w:tblGrid>
      <w:tr>
        <w:trPr/>
        <w:tc>
          <w:tcPr>
            <w:tcW w:w="5598"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5598"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SATISFACTION AND DISCHARGE; DEFEASANCE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vAlign w:val="center"/>
          </w:tcPr>
          <w:p>
            <w:pPr>
              <w:pStyle w:val="TableContents"/>
              <w:bidi w:val="0"/>
              <w:spacing w:before="0" w:after="283"/>
              <w:jc w:val="left"/>
              <w:rPr/>
            </w:pPr>
            <w:r>
              <w:rPr/>
              <w:t> </w:t>
            </w:r>
          </w:p>
        </w:tc>
      </w:tr>
      <w:tr>
        <w:trPr/>
        <w:tc>
          <w:tcPr>
            <w:tcW w:w="87" w:type="dxa"/>
            <w:tcBorders/>
            <w:vAlign w:val="center"/>
          </w:tcPr>
          <w:p>
            <w:pPr>
              <w:pStyle w:val="TableContents"/>
              <w:bidi w:val="0"/>
              <w:spacing w:before="0" w:after="283"/>
              <w:jc w:val="left"/>
              <w:rPr/>
            </w:pPr>
            <w:r>
              <w:rPr/>
              <w:t> </w:t>
            </w:r>
          </w:p>
        </w:tc>
        <w:tc>
          <w:tcPr>
            <w:tcW w:w="1214" w:type="dxa"/>
            <w:gridSpan w:val="2"/>
            <w:tcBorders/>
            <w:vAlign w:val="center"/>
          </w:tcPr>
          <w:p>
            <w:pPr>
              <w:pStyle w:val="TableContents"/>
              <w:bidi w:val="0"/>
              <w:spacing w:before="0" w:after="283"/>
              <w:jc w:val="left"/>
              <w:rPr/>
            </w:pPr>
            <w:r>
              <w:rPr/>
              <w:t> </w:t>
            </w:r>
          </w:p>
        </w:tc>
        <w:tc>
          <w:tcPr>
            <w:tcW w:w="4297"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8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200"/>
              <w:jc w:val="left"/>
              <w:rPr/>
            </w:pPr>
            <w:r>
              <w:rPr/>
              <w:t> </w:t>
            </w:r>
          </w:p>
        </w:tc>
        <w:tc>
          <w:tcPr>
            <w:tcW w:w="1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70" w:type="dxa"/>
            <w:tcBorders/>
            <w:shd w:fill="CCEEFF" w:val="clear"/>
            <w:vAlign w:val="center"/>
          </w:tcPr>
          <w:p>
            <w:pPr>
              <w:pStyle w:val="TableContents"/>
              <w:bidi w:val="0"/>
              <w:spacing w:before="0" w:after="283"/>
              <w:ind w:left="0" w:right="0" w:hanging="200"/>
              <w:jc w:val="left"/>
              <w:rPr/>
            </w:pPr>
            <w:r>
              <w:rPr/>
              <w:t> </w:t>
            </w:r>
          </w:p>
        </w:tc>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8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200"/>
              <w:jc w:val="left"/>
              <w:rPr/>
            </w:pPr>
            <w:r>
              <w:rPr/>
              <w:t> </w:t>
            </w:r>
          </w:p>
        </w:tc>
        <w:tc>
          <w:tcPr>
            <w:tcW w:w="1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70" w:type="dxa"/>
            <w:tcBorders/>
            <w:shd w:fill="FFFFFF" w:val="clear"/>
            <w:vAlign w:val="center"/>
          </w:tcPr>
          <w:p>
            <w:pPr>
              <w:pStyle w:val="TableContents"/>
              <w:bidi w:val="0"/>
              <w:spacing w:before="0" w:after="283"/>
              <w:ind w:left="0" w:right="0" w:hanging="200"/>
              <w:jc w:val="left"/>
              <w:rPr/>
            </w:pPr>
            <w:r>
              <w:rPr/>
              <w:t> </w:t>
            </w:r>
          </w:p>
        </w:tc>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Funds; Indemnification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FFFFFF" w:val="clear"/>
            <w:vAlign w:val="center"/>
          </w:tcPr>
          <w:p>
            <w:pPr>
              <w:pStyle w:val="TableContents"/>
              <w:bidi w:val="0"/>
              <w:spacing w:before="0" w:after="283"/>
              <w:jc w:val="left"/>
              <w:rPr/>
            </w:pPr>
            <w:r>
              <w:rPr/>
              <w:t> </w:t>
            </w:r>
          </w:p>
        </w:tc>
      </w:tr>
      <w:tr>
        <w:trPr/>
        <w:tc>
          <w:tcPr>
            <w:tcW w:w="8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200"/>
              <w:jc w:val="left"/>
              <w:rPr/>
            </w:pPr>
            <w:r>
              <w:rPr/>
              <w:t> </w:t>
            </w:r>
          </w:p>
        </w:tc>
        <w:tc>
          <w:tcPr>
            <w:tcW w:w="1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70" w:type="dxa"/>
            <w:tcBorders/>
            <w:shd w:fill="CCEEFF" w:val="clear"/>
            <w:vAlign w:val="center"/>
          </w:tcPr>
          <w:p>
            <w:pPr>
              <w:pStyle w:val="TableContents"/>
              <w:bidi w:val="0"/>
              <w:spacing w:before="0" w:after="283"/>
              <w:ind w:left="0" w:right="0" w:hanging="200"/>
              <w:jc w:val="left"/>
              <w:rPr/>
            </w:pPr>
            <w:r>
              <w:rPr/>
              <w:t> </w:t>
            </w:r>
          </w:p>
        </w:tc>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of Securities of any Series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jc w:val="left"/>
              <w:rPr/>
            </w:pPr>
            <w:r>
              <w:rPr/>
              <w:t> </w:t>
            </w:r>
          </w:p>
        </w:tc>
      </w:tr>
      <w:tr>
        <w:trPr/>
        <w:tc>
          <w:tcPr>
            <w:tcW w:w="8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200"/>
              <w:jc w:val="left"/>
              <w:rPr/>
            </w:pPr>
            <w:r>
              <w:rPr/>
              <w:t> </w:t>
            </w:r>
          </w:p>
        </w:tc>
        <w:tc>
          <w:tcPr>
            <w:tcW w:w="1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70" w:type="dxa"/>
            <w:tcBorders/>
            <w:shd w:fill="FFFFFF" w:val="clear"/>
            <w:vAlign w:val="center"/>
          </w:tcPr>
          <w:p>
            <w:pPr>
              <w:pStyle w:val="TableContents"/>
              <w:bidi w:val="0"/>
              <w:spacing w:before="0" w:after="283"/>
              <w:ind w:left="0" w:right="0" w:hanging="200"/>
              <w:jc w:val="left"/>
              <w:rPr/>
            </w:pPr>
            <w:r>
              <w:rPr/>
              <w:t> </w:t>
            </w:r>
          </w:p>
        </w:tc>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75" w:type="dxa"/>
            <w:tcBorders/>
            <w:shd w:fill="FFFFFF" w:val="clear"/>
            <w:vAlign w:val="center"/>
          </w:tcPr>
          <w:p>
            <w:pPr>
              <w:pStyle w:val="TableContents"/>
              <w:bidi w:val="0"/>
              <w:spacing w:before="0" w:after="283"/>
              <w:jc w:val="left"/>
              <w:rPr/>
            </w:pPr>
            <w:r>
              <w:rPr/>
              <w:t> </w:t>
            </w:r>
          </w:p>
        </w:tc>
      </w:tr>
      <w:tr>
        <w:trPr/>
        <w:tc>
          <w:tcPr>
            <w:tcW w:w="8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200"/>
              <w:jc w:val="left"/>
              <w:rPr/>
            </w:pPr>
            <w:r>
              <w:rPr/>
              <w:t> </w:t>
            </w:r>
          </w:p>
        </w:tc>
        <w:tc>
          <w:tcPr>
            <w:tcW w:w="1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70" w:type="dxa"/>
            <w:tcBorders/>
            <w:shd w:fill="CCEEFF" w:val="clear"/>
            <w:vAlign w:val="center"/>
          </w:tcPr>
          <w:p>
            <w:pPr>
              <w:pStyle w:val="TableContents"/>
              <w:bidi w:val="0"/>
              <w:spacing w:before="0" w:after="283"/>
              <w:ind w:left="0" w:right="0" w:hanging="200"/>
              <w:jc w:val="left"/>
              <w:rPr/>
            </w:pPr>
            <w:r>
              <w:rPr/>
              <w:t> </w:t>
            </w:r>
          </w:p>
        </w:tc>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CCEEFF" w:val="clear"/>
            <w:vAlign w:val="center"/>
          </w:tcPr>
          <w:p>
            <w:pPr>
              <w:pStyle w:val="TableContents"/>
              <w:bidi w:val="0"/>
              <w:spacing w:before="0" w:after="283"/>
              <w:jc w:val="left"/>
              <w:rPr/>
            </w:pPr>
            <w:r>
              <w:rPr/>
              <w:t> </w:t>
            </w:r>
          </w:p>
        </w:tc>
      </w:tr>
      <w:tr>
        <w:trPr/>
        <w:tc>
          <w:tcPr>
            <w:tcW w:w="8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200"/>
              <w:jc w:val="left"/>
              <w:rPr/>
            </w:pPr>
            <w:r>
              <w:rPr/>
              <w:t> </w:t>
            </w:r>
          </w:p>
        </w:tc>
        <w:tc>
          <w:tcPr>
            <w:tcW w:w="1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70" w:type="dxa"/>
            <w:tcBorders/>
            <w:shd w:fill="FFFFFF" w:val="clear"/>
            <w:vAlign w:val="center"/>
          </w:tcPr>
          <w:p>
            <w:pPr>
              <w:pStyle w:val="TableContents"/>
              <w:bidi w:val="0"/>
              <w:spacing w:before="0" w:after="283"/>
              <w:ind w:left="0" w:right="0" w:hanging="200"/>
              <w:jc w:val="left"/>
              <w:rPr/>
            </w:pPr>
            <w:r>
              <w:rPr/>
              <w:t> </w:t>
            </w:r>
          </w:p>
        </w:tc>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75"/>
        <w:gridCol w:w="60"/>
        <w:gridCol w:w="980"/>
        <w:gridCol w:w="60"/>
        <w:gridCol w:w="3110"/>
        <w:gridCol w:w="60"/>
        <w:gridCol w:w="60"/>
        <w:gridCol w:w="230"/>
        <w:gridCol w:w="75"/>
      </w:tblGrid>
      <w:tr>
        <w:trPr/>
        <w:tc>
          <w:tcPr>
            <w:tcW w:w="4285" w:type="dxa"/>
            <w:gridSpan w:val="5"/>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ARTICLE IX. AMENDMENTS AND WAIVERS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3170"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60" w:type="dxa"/>
            <w:tcBorders/>
            <w:shd w:fill="CCEEFF" w:val="clear"/>
            <w:vAlign w:val="center"/>
          </w:tcPr>
          <w:p>
            <w:pPr>
              <w:pStyle w:val="TableContents"/>
              <w:bidi w:val="0"/>
              <w:spacing w:before="0" w:after="283"/>
              <w:ind w:left="0" w:right="0" w:hanging="200"/>
              <w:jc w:val="left"/>
              <w:rPr/>
            </w:pPr>
            <w:r>
              <w:rPr/>
              <w:t> </w:t>
            </w:r>
          </w:p>
        </w:tc>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60" w:type="dxa"/>
            <w:tcBorders/>
            <w:shd w:fill="FFFFFF" w:val="clear"/>
            <w:vAlign w:val="center"/>
          </w:tcPr>
          <w:p>
            <w:pPr>
              <w:pStyle w:val="TableContents"/>
              <w:bidi w:val="0"/>
              <w:spacing w:before="0" w:after="283"/>
              <w:ind w:left="0" w:right="0" w:hanging="200"/>
              <w:jc w:val="left"/>
              <w:rPr/>
            </w:pPr>
            <w:r>
              <w:rPr/>
              <w:t> </w:t>
            </w:r>
          </w:p>
        </w:tc>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60" w:type="dxa"/>
            <w:tcBorders/>
            <w:shd w:fill="CCEEFF" w:val="clear"/>
            <w:vAlign w:val="center"/>
          </w:tcPr>
          <w:p>
            <w:pPr>
              <w:pStyle w:val="TableContents"/>
              <w:bidi w:val="0"/>
              <w:spacing w:before="0" w:after="283"/>
              <w:ind w:left="0" w:right="0" w:hanging="200"/>
              <w:jc w:val="left"/>
              <w:rPr/>
            </w:pPr>
            <w:r>
              <w:rPr/>
              <w:t> </w:t>
            </w:r>
          </w:p>
        </w:tc>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60" w:type="dxa"/>
            <w:tcBorders/>
            <w:shd w:fill="FFFFFF" w:val="clear"/>
            <w:vAlign w:val="center"/>
          </w:tcPr>
          <w:p>
            <w:pPr>
              <w:pStyle w:val="TableContents"/>
              <w:bidi w:val="0"/>
              <w:spacing w:before="0" w:after="283"/>
              <w:ind w:left="0" w:right="0" w:hanging="200"/>
              <w:jc w:val="left"/>
              <w:rPr/>
            </w:pPr>
            <w:r>
              <w:rPr/>
              <w:t> </w:t>
            </w:r>
          </w:p>
        </w:tc>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60" w:type="dxa"/>
            <w:tcBorders/>
            <w:shd w:fill="CCEEFF" w:val="clear"/>
            <w:vAlign w:val="center"/>
          </w:tcPr>
          <w:p>
            <w:pPr>
              <w:pStyle w:val="TableContents"/>
              <w:bidi w:val="0"/>
              <w:spacing w:before="0" w:after="283"/>
              <w:ind w:left="0" w:right="0" w:hanging="200"/>
              <w:jc w:val="left"/>
              <w:rPr/>
            </w:pPr>
            <w:r>
              <w:rPr/>
              <w:t> </w:t>
            </w:r>
          </w:p>
        </w:tc>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60" w:type="dxa"/>
            <w:tcBorders/>
            <w:shd w:fill="FFFFFF" w:val="clear"/>
            <w:vAlign w:val="center"/>
          </w:tcPr>
          <w:p>
            <w:pPr>
              <w:pStyle w:val="TableContents"/>
              <w:bidi w:val="0"/>
              <w:spacing w:before="0" w:after="283"/>
              <w:ind w:left="0" w:right="0" w:hanging="200"/>
              <w:jc w:val="left"/>
              <w:rPr/>
            </w:pPr>
            <w:r>
              <w:rPr/>
              <w:t> </w:t>
            </w:r>
          </w:p>
        </w:tc>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60" w:type="dxa"/>
            <w:tcBorders/>
            <w:shd w:fill="CCEEFF" w:val="clear"/>
            <w:vAlign w:val="center"/>
          </w:tcPr>
          <w:p>
            <w:pPr>
              <w:pStyle w:val="TableContents"/>
              <w:bidi w:val="0"/>
              <w:spacing w:before="0" w:after="283"/>
              <w:ind w:left="0" w:right="0" w:hanging="200"/>
              <w:jc w:val="left"/>
              <w:rPr/>
            </w:pPr>
            <w:r>
              <w:rPr/>
              <w:t> </w:t>
            </w:r>
          </w:p>
        </w:tc>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Protected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75"/>
        <w:gridCol w:w="60"/>
        <w:gridCol w:w="1190"/>
        <w:gridCol w:w="60"/>
        <w:gridCol w:w="4415"/>
        <w:gridCol w:w="60"/>
        <w:gridCol w:w="60"/>
        <w:gridCol w:w="23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00"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5800"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447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 by Holders with Other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Required in Certificate or Opinion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 Against 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Jury Trial Waiver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in a Foreign Currency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5800"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5800"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SINKING 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447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200"/>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60" w:type="dxa"/>
            <w:tcBorders/>
            <w:shd w:fill="FFFFFF" w:val="clear"/>
            <w:vAlign w:val="center"/>
          </w:tcPr>
          <w:p>
            <w:pPr>
              <w:pStyle w:val="TableContents"/>
              <w:bidi w:val="0"/>
              <w:spacing w:before="0" w:after="283"/>
              <w:ind w:left="0" w:right="0" w:hanging="200"/>
              <w:jc w:val="left"/>
              <w:rPr/>
            </w:pPr>
            <w:r>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5800" w:type="dxa"/>
            <w:gridSpan w:val="5"/>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ind w:left="0" w:right="0" w:hanging="200"/>
              <w:jc w:val="left"/>
              <w:rPr/>
            </w:pPr>
            <w:r>
              <w:rPr/>
              <w:t> </w:t>
            </w:r>
          </w:p>
        </w:tc>
      </w:tr>
      <w:tr>
        <w:trPr/>
        <w:tc>
          <w:tcPr>
            <w:tcW w:w="5800" w:type="dxa"/>
            <w:gridSpan w:val="5"/>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 SUBORDINATION OF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4475" w:type="dxa"/>
            <w:gridSpan w:val="2"/>
            <w:tcBorders/>
            <w:vAlign w:val="center"/>
          </w:tcPr>
          <w:p>
            <w:pPr>
              <w:pStyle w:val="TableContents"/>
              <w:bidi w:val="0"/>
              <w:spacing w:before="0" w:after="283"/>
              <w:jc w:val="left"/>
              <w:rPr/>
            </w:pPr>
            <w:r>
              <w:rPr/>
              <w:t> </w:t>
            </w:r>
          </w:p>
        </w:tc>
        <w:tc>
          <w:tcPr>
            <w:tcW w:w="425" w:type="dxa"/>
            <w:gridSpan w:val="4"/>
            <w:tcBorders/>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200"/>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w:t>
            </w:r>
          </w:p>
        </w:tc>
        <w:tc>
          <w:tcPr>
            <w:tcW w:w="60" w:type="dxa"/>
            <w:tcBorders/>
            <w:shd w:fill="CCEEFF" w:val="clear"/>
            <w:vAlign w:val="center"/>
          </w:tcPr>
          <w:p>
            <w:pPr>
              <w:pStyle w:val="TableContents"/>
              <w:bidi w:val="0"/>
              <w:spacing w:before="0" w:after="283"/>
              <w:ind w:left="0" w:right="0" w:hanging="200"/>
              <w:jc w:val="left"/>
              <w:rPr/>
            </w:pPr>
            <w:r>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Subordination of Terms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75" w:type="dxa"/>
            <w:tcBorders/>
            <w:shd w:fill="CCEEFF" w:val="clear"/>
            <w:vAlign w:val="center"/>
          </w:tcPr>
          <w:p>
            <w:pPr>
              <w:pStyle w:val="TableContents"/>
              <w:bidi w:val="0"/>
              <w:spacing w:before="0" w:after="283"/>
              <w:jc w:val="left"/>
              <w:rPr/>
            </w:pPr>
            <w:r>
              <w:rPr/>
              <w:t> </w:t>
            </w:r>
          </w:p>
        </w:tc>
      </w:tr>
    </w:tbl>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120" w:after="120"/>
        <w:ind w:left="120" w:right="1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20</w:t>
      </w:r>
    </w:p>
    <w:p>
      <w:pPr>
        <w:pStyle w:val="TextBody"/>
        <w:bidi w:val="0"/>
        <w:spacing w:before="240" w:after="240"/>
        <w:ind w:left="240" w:right="240" w:hanging="0"/>
        <w:jc w:val="center"/>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935"/>
        <w:gridCol w:w="60"/>
        <w:gridCol w:w="60"/>
        <w:gridCol w:w="60"/>
        <w:gridCol w:w="1280"/>
      </w:tblGrid>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310(a)(1)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311(a)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312(a)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313(a)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314(a)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4.2, 10.5</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315(a)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316(a)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317(a)(1)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r>
      <w:tr>
        <w:trPr/>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r>
      <w:tr>
        <w:trPr/>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318(a)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20 , between AEYE, INC., a company incorporated under the laws of the State of Delaware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 as trustee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INCORPORATION BY REFERENCE</w:t>
      </w:r>
    </w:p>
    <w:p>
      <w:pPr>
        <w:pStyle w:val="TextBody"/>
        <w:bidi w:val="0"/>
        <w:spacing w:before="240" w:after="240"/>
        <w:ind w:left="240" w:right="240" w:firstLine="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for a particular Series, any day except a Saturday, Sunday or any day, including a legal holiday, on which banking institutions are authorized or required by law, regulation or executive order to close in The City of New York (or in connection with any payment, the place of payment).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participations, rights or other equivalents (however designated) of the equity of such person.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Certificated Securities</w:t>
      </w:r>
      <w:r>
        <w:rPr>
          <w:rFonts w:ascii="Times New Roman;Times;Serif" w:hAnsi="Times New Roman;Times;Serif"/>
          <w:b w:val="false"/>
          <w:i w:val="false"/>
          <w:caps w:val="false"/>
          <w:smallCaps w:val="false"/>
          <w:sz w:val="20"/>
        </w:rPr>
        <w:t>” means definitive Securities in registered non-global certificated form.</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which duly assumes the obligations under this Indenture, replaces it and thereafter means the successor.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an Officer.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related to this Indenture shall be principally administered, which office at the date hereof is located at ,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 on the books of the Registrar.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particular Series of Securities established as contemplated hereunder.</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means, with respect to any Security, any interest on such Security, and with respect to any Discount Security which by its terms bears interest only after Maturity, interest payable after Maturity.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Chief Executive, President, any Vice President, the Treasurer or Secretary of the Company.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(or any person designated in writing by an Officer of the Company as authorized to execute and deliver Officer’s Certificates) and delivered to the Trustee.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The counsel may be an employee of or counsel to the Company. Opinions of Counsel required to be delivered under this Indenture may have qualifications customary for opinions of the type required.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trust, joint venture, limited liability company, unincorporated organization or government or any agency, instrumentality or political subdivision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the Security.</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having direct responsibility for administration of this Indenture and also means, with respect to a particular corporate trust matter, any other officer to whom any corporate trust matter is referred because of his or her knowledge of and familiarity with a particular subject and who shall have direct responsibility for the administration of this Indenture.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subordinated debentures, notes or other debt instruments of the Company of any Series authenticated and delivered under this Indenture.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2.1 and 2.2 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means the date specified in such Security as the fixed date on which the principal of such Security is due and payable.</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joint venture, limited liability company or other business entity of which a majority of the outstanding shares of Capital Stock or other interests having the power to vote in the election of directors, managers or trustees thereof is at the time directly or indirectly owned or controlled by such person or one or more of the other Subsidiaries of such person, or a combination thereof.</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(15 U.S. Code §§ 77aaa-77bbbb) as in effect on the date of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Trust Indenture Act of 1939 is amended after such date, “TIA” means, to the extent required by any such amendment, the Trust Indenture Act as so amended.</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means The United States of America (including the states thereof and the District of Columbia), its territories and possessions and other areas subject to its jurisdiction.</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securities which are direct obligations of, or guaranteed by, The United States of America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tbl>
      <w:tblPr>
        <w:tblW w:w="4089" w:type="dxa"/>
        <w:jc w:val="left"/>
        <w:tblInd w:w="0" w:type="dxa"/>
        <w:tblLayout w:type="fixed"/>
        <w:tblCellMar>
          <w:top w:w="0" w:type="dxa"/>
          <w:left w:w="0" w:type="dxa"/>
          <w:bottom w:w="0" w:type="dxa"/>
          <w:right w:w="0" w:type="dxa"/>
        </w:tblCellMar>
      </w:tblPr>
      <w:tblGrid>
        <w:gridCol w:w="2930"/>
        <w:gridCol w:w="60"/>
        <w:gridCol w:w="60"/>
        <w:gridCol w:w="105"/>
        <w:gridCol w:w="859"/>
        <w:gridCol w:w="75"/>
      </w:tblGrid>
      <w:tr>
        <w:trPr/>
        <w:tc>
          <w:tcPr>
            <w:tcW w:w="293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TERM</w:t>
            </w:r>
          </w:p>
        </w:tc>
        <w:tc>
          <w:tcPr>
            <w:tcW w:w="120" w:type="dxa"/>
            <w:gridSpan w:val="2"/>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DEFINED IN</w:t>
              <w:br/>
              <w:t>SECTION</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Bankruptcy Law”</w:t>
            </w:r>
          </w:p>
        </w:tc>
        <w:tc>
          <w:tcPr>
            <w:tcW w:w="120" w:type="dxa"/>
            <w:gridSpan w:val="2"/>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Custodian”</w:t>
            </w:r>
          </w:p>
        </w:tc>
        <w:tc>
          <w:tcPr>
            <w:tcW w:w="12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Event of Default”</w:t>
            </w:r>
          </w:p>
        </w:tc>
        <w:tc>
          <w:tcPr>
            <w:tcW w:w="120" w:type="dxa"/>
            <w:gridSpan w:val="2"/>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Judgment Currency”</w:t>
            </w:r>
          </w:p>
        </w:tc>
        <w:tc>
          <w:tcPr>
            <w:tcW w:w="12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w:t>
            </w:r>
            <w:r>
              <w:rPr>
                <w:rFonts w:ascii="Times New Roman;Times;Serif" w:hAnsi="Times New Roman;Times;Serif"/>
                <w:i/>
                <w:sz w:val="20"/>
              </w:rPr>
              <w:t>Legal Holiday”</w:t>
            </w:r>
          </w:p>
        </w:tc>
        <w:tc>
          <w:tcPr>
            <w:tcW w:w="120" w:type="dxa"/>
            <w:gridSpan w:val="2"/>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vAlign w:val="center"/>
          </w:tcPr>
          <w:p>
            <w:pPr>
              <w:pStyle w:val="TableContents"/>
              <w:bidi w:val="0"/>
              <w:spacing w:before="0" w:after="283"/>
              <w:jc w:val="left"/>
              <w:rPr/>
            </w:pPr>
            <w:r>
              <w:rPr/>
              <w:t>“</w:t>
            </w:r>
            <w:r>
              <w:rPr>
                <w:rFonts w:ascii="Times New Roman;Times;Serif" w:hAnsi="Times New Roman;Times;Serif"/>
                <w:i/>
                <w:sz w:val="20"/>
              </w:rPr>
              <w:t>mandatory sinking fund payment”</w:t>
            </w:r>
          </w:p>
        </w:tc>
        <w:tc>
          <w:tcPr>
            <w:tcW w:w="12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75" w:type="dxa"/>
            <w:tcBorders/>
            <w:vAlign w:val="center"/>
          </w:tcPr>
          <w:p>
            <w:pPr>
              <w:pStyle w:val="TableContents"/>
              <w:bidi w:val="0"/>
              <w:spacing w:before="0" w:after="283"/>
              <w:jc w:val="left"/>
              <w:rPr/>
            </w:pPr>
            <w:r>
              <w:rPr/>
              <w:t> </w:t>
            </w:r>
          </w:p>
        </w:tc>
      </w:tr>
      <w:tr>
        <w:trPr/>
        <w:tc>
          <w:tcPr>
            <w:tcW w:w="29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990" w:type="dxa"/>
            <w:gridSpan w:val="2"/>
            <w:tcBorders/>
            <w:shd w:fill="CCEEFF" w:val="clear"/>
            <w:vAlign w:val="center"/>
          </w:tcPr>
          <w:p>
            <w:pPr>
              <w:pStyle w:val="TableContents"/>
              <w:bidi w:val="0"/>
              <w:spacing w:before="0" w:after="283"/>
              <w:jc w:val="left"/>
              <w:rPr/>
            </w:pPr>
            <w:r>
              <w:rPr/>
              <w:t>“</w:t>
            </w:r>
            <w:r>
              <w:rPr>
                <w:rFonts w:ascii="Times New Roman;Times;Serif" w:hAnsi="Times New Roman;Times;Serif"/>
                <w:i/>
                <w:sz w:val="20"/>
              </w:rPr>
              <w:t>optional sinking fund payment”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90" w:type="dxa"/>
            <w:gridSpan w:val="2"/>
            <w:tcBorders/>
            <w:vAlign w:val="center"/>
          </w:tcPr>
          <w:p>
            <w:pPr>
              <w:pStyle w:val="TableContents"/>
              <w:bidi w:val="0"/>
              <w:spacing w:before="0" w:after="283"/>
              <w:jc w:val="left"/>
              <w:rPr/>
            </w:pPr>
            <w:r>
              <w:rPr/>
              <w:t>“</w:t>
            </w:r>
            <w:r>
              <w:rPr>
                <w:rFonts w:ascii="Times New Roman;Times;Serif" w:hAnsi="Times New Roman;Times;Serif"/>
                <w:i/>
                <w:sz w:val="20"/>
              </w:rPr>
              <w:t>Paying Agent”</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vAlign w:val="center"/>
          </w:tcPr>
          <w:p>
            <w:pPr>
              <w:pStyle w:val="TableContents"/>
              <w:bidi w:val="0"/>
              <w:spacing w:before="0" w:after="283"/>
              <w:ind w:left="0" w:right="0" w:hanging="200"/>
              <w:jc w:val="left"/>
              <w:rPr/>
            </w:pPr>
            <w:r>
              <w:rPr/>
              <w:t> </w:t>
            </w:r>
          </w:p>
        </w:tc>
      </w:tr>
      <w:tr>
        <w:trPr/>
        <w:tc>
          <w:tcPr>
            <w:tcW w:w="2990" w:type="dxa"/>
            <w:gridSpan w:val="2"/>
            <w:tcBorders/>
            <w:shd w:fill="CCEEFF" w:val="clear"/>
            <w:vAlign w:val="center"/>
          </w:tcPr>
          <w:p>
            <w:pPr>
              <w:pStyle w:val="TableContents"/>
              <w:bidi w:val="0"/>
              <w:spacing w:before="0" w:after="283"/>
              <w:jc w:val="left"/>
              <w:rPr/>
            </w:pPr>
            <w:r>
              <w:rPr/>
              <w:t>“</w:t>
            </w:r>
            <w:r>
              <w:rPr>
                <w:rFonts w:ascii="Times New Roman;Times;Serif" w:hAnsi="Times New Roman;Times;Serif"/>
                <w:i/>
                <w:sz w:val="20"/>
              </w:rPr>
              <w:t>Registrar”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90" w:type="dxa"/>
            <w:gridSpan w:val="2"/>
            <w:tcBorders/>
            <w:vAlign w:val="center"/>
          </w:tcPr>
          <w:p>
            <w:pPr>
              <w:pStyle w:val="TableContents"/>
              <w:bidi w:val="0"/>
              <w:spacing w:before="0" w:after="283"/>
              <w:jc w:val="left"/>
              <w:rPr/>
            </w:pPr>
            <w:r>
              <w:rPr/>
              <w:t>“</w:t>
            </w:r>
            <w:r>
              <w:rPr>
                <w:rFonts w:ascii="Times New Roman;Times;Serif" w:hAnsi="Times New Roman;Times;Serif"/>
                <w:i/>
                <w:sz w:val="20"/>
              </w:rPr>
              <w:t>Required Currency”</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w:t>
            </w:r>
          </w:p>
        </w:tc>
        <w:tc>
          <w:tcPr>
            <w:tcW w:w="75" w:type="dxa"/>
            <w:tcBorders/>
            <w:vAlign w:val="center"/>
          </w:tcPr>
          <w:p>
            <w:pPr>
              <w:pStyle w:val="TableContents"/>
              <w:bidi w:val="0"/>
              <w:spacing w:before="0" w:after="283"/>
              <w:ind w:left="0" w:right="0" w:hanging="200"/>
              <w:jc w:val="left"/>
              <w:rPr/>
            </w:pPr>
            <w:r>
              <w:rPr/>
              <w:t> </w:t>
            </w:r>
          </w:p>
        </w:tc>
      </w:tr>
      <w:tr>
        <w:trPr/>
        <w:tc>
          <w:tcPr>
            <w:tcW w:w="2990" w:type="dxa"/>
            <w:gridSpan w:val="2"/>
            <w:tcBorders/>
            <w:shd w:fill="CCEEFF" w:val="clear"/>
            <w:vAlign w:val="center"/>
          </w:tcPr>
          <w:p>
            <w:pPr>
              <w:pStyle w:val="TableContents"/>
              <w:bidi w:val="0"/>
              <w:spacing w:before="0" w:after="283"/>
              <w:jc w:val="left"/>
              <w:rPr/>
            </w:pPr>
            <w:r>
              <w:rPr/>
              <w:t>“</w:t>
            </w:r>
            <w:r>
              <w:rPr>
                <w:rFonts w:ascii="Times New Roman;Times;Serif" w:hAnsi="Times New Roman;Times;Serif"/>
                <w:i/>
                <w:sz w:val="20"/>
              </w:rPr>
              <w:t>successor person”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120" w:after="120"/>
        <w:ind w:left="120" w:right="12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means the SEC.</w:t>
      </w:r>
    </w:p>
    <w:p>
      <w:pPr>
        <w:pStyle w:val="TextBody"/>
        <w:bidi w:val="0"/>
        <w:spacing w:before="120" w:after="120"/>
        <w:ind w:left="120" w:right="12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120" w:after="120"/>
        <w:ind w:left="120" w:right="12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is not exclusive;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provisions apply to successive events and transactions.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hereto or Officer’s Certificate establishing the terms of such Series. In the case of Securities of a Series to be issued from time to time, the Board Resolution, Officer’s Certificate or supplemental indenture establishing the terms thereof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or pursuant to a Board Resolution, and set forth or determined in the manner provided in a Board Resolution, supplemental indenture hereto or Officer’s Certificate:</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title (which shall distinguish the Securities of that particular Series from the Securities of any other Series)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the price or prices (expressed as a percentage of the principal amount thereof) at which the Securities of the Series will be issued;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2.8, 2.9, 2.12, 3.6 or 9.6);</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the date or dates on which the principal of the Securities of the Series is payable;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if applicable, the period or periods within which, the price or prices at which and the terms and conditions upon which the Securities of the Series must be redeemed or may be redeemed, in whole or in part, at the option of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 if other than denominations of $1,000 and integral multiples of $1,000 in excess thereof, the denominations in which the Securities of the Series shall be issuable;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the forms of the Securities of the Series and whether the Securities will be issuable as Global Securities;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 the designation of the currency, currencies or currency units in which payment of the principal of and interest, if any, on the Securities of the Series will be made;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 the provisions, if any, relating to any security provided for the Securities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 any addition to, deletion of or change in the covenants set forth in Articles IV or V which applies to Securities of the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 any Depositaries, trustees, interest rate calculation agents, exchange rate calculation agents or other agents with respect to Securities of such Series if other than those appointed herein;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 the provisions, if any, relating to conversion or exchange of any Securities of such Series, including if applicable, the conversion or exchange price, the conversion or exchange period, the securities or other property into which the Securities will be convertible,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 whether any of the Company’s direct or indirect Subsidiaries will guarantee the Securities of that Series, including the terms of subordination, if any, of such guarantees;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 the subordination terms of the Securities of the Series;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Denominations; Provision for Payment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shall be issuable, except as otherwise provided with respect to Securities of any Series pursuant to Section 2.2, as registered Securities in the denominations of one thousand Dollars ($1,000) or any integral multiples of $1,000 in excess thereof. Unless otherwise provided with respect to Securities of any Series pursuant to Section 2.2, the principal of and the interest on the Securities of any Series, if any, thereon, shall by payable in Dollars at the Corporate Trust Office of the Trustee. Unless otherwise specified pursuant to Section 2.2 with respect to any Securities of any Series, interest on the Securities of any Series shall be computed on the basis of a 360-day year consisting of twelve 30-day months.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2.9.</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7.1) shall be fully protected in conclusively relying on: (a) the Board Resolution, supplemental indenture hereto or Officer’s Certificate delivered pursuant to Section 2.2 establishing the form of the Securities of that Series or of Securities within that Series and the terms of the Securities of that Series or of Securities within that Series, (b) an Officer’s Certificate complying with Section 9.7 (with respect to the execution of supplemental indentures) and Section 10.4, and (c) an Opinion of Counsel complying with Section 9.7 (with respect to the execution of supplemental indentures) and Section 10.4.</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but not the obligation, to decline to authenticate and deliver any Securities of such Series: (a) if the Trustee, being advised by counsel, determines that such action may not be taken lawfully; or (b) if the Trustee in good faith determines that such action would expose the Trustee to personal liability.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an office or agency where Securities of such Series may be presented or surrendered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and where Securities of such Series may be surrendered for registration of transfer 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The Registrar shall keep a register with respect to each Series of Securities and to their transfer and exchange (the “</w:t>
      </w:r>
      <w:r>
        <w:rPr>
          <w:rFonts w:ascii="Times New Roman;Times;Serif" w:hAnsi="Times New Roman;Times;Serif"/>
          <w:b w:val="false"/>
          <w:i/>
          <w:caps w:val="false"/>
          <w:smallCaps w:val="false"/>
          <w:sz w:val="20"/>
        </w:rPr>
        <w:t>Security Register</w:t>
      </w:r>
      <w:r>
        <w:rPr>
          <w:rFonts w:ascii="Times New Roman;Times;Serif" w:hAnsi="Times New Roman;Times;Serif"/>
          <w:b w:val="false"/>
          <w:i w:val="false"/>
          <w:caps w:val="false"/>
          <w:smallCaps w:val="false"/>
          <w:sz w:val="20"/>
        </w:rPr>
        <w:t>”). The Company will give prompt written notice to the Trustee of the name and address, and any change in the name or address, of each Registrar or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designation or rescission shall in any manner relieve the Company of its obligations to maintain a Registrar or Paying Agent in each place so specified for Securities of any Series for such purposes. The Company will give prompt written notice to the Trustee of any such designation or rescission and of any change in the name or address of any such co-registrar or additional paying agent.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Company or any of its Affiliates may serve as Registrar or Paying Agent.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Trustee as the initial Registrar and Paying Agent for each Series unless another Registrar or Paying Agent, as the case may be, is appointed prior to the time Securities of that Series are first issued.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Securities of that Series,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within 30 days after receipt by the Company of any such request, a list, in such form and as of such date as the Trustee may reasonably require, of the names and addresses of Securityholders of each Series of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2.12, 3.6 or 9.6).</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written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2.9,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2.9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2.9 are exclusive and shall preclude (to the extent lawful) all other rights and remedies with respect to the replacement or payment of mutilated, destroyed, lost or stolen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the Registrar and those described in this Section 2.10 as not outstanding.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2.9, it ceases to be outstanding unless the Trustee receives proof satisfactory to it that the replaced Security is held by a bona fide purchaser.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or otherwise acquire the Securities, whether by open market purchases, negotiated transactions or otherwise. A Security does not cease to be outstanding because the Company or an Affiliate of the Company holds the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Securities of a Series that a Responsible Officer of the Trustee actually knows are so owned shall be so disregarded.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 owned which have been pledged in good faith shall not be disregarded if the pledgee establishes to the satisfaction of the Trustee the pledgee’s right to deliver any such request, demand, authorization, direction, notice, consent or waiver with respect to the Securities and that the pledgee is not the Company or any other obligor upon the Securities or any Affiliate of the Company or of such other obligor.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if not the Trustee, shall forward to the Trustee any Securities surrendered to them for registration of transfer, exchange or payment. The Trustee shall cancel all Securities surrendered for transfer, exchange, payment, replacement, conversion or cancellation and shall dispose of such canceled Securities (subject to the record retention requirement of the Exchange Act and the Trustee) in accordance with its customary procedures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may pay the defaulted interest, plus, to the extent permitted by law, any interest payable on the defaulted interest, to the persons who are Securityholders of the Series on a subsequent special record date. The Company shall fix the record date and payment date. At least ten days before the special record date, the Company shall mail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2.15.1. </w:t>
      </w:r>
      <w:r>
        <w:rPr>
          <w:rFonts w:ascii="Times New Roman;Times;Serif" w:hAnsi="Times New Roman;Times;Serif"/>
          <w:b w:val="false"/>
          <w:i w:val="false"/>
          <w:caps w:val="false"/>
          <w:smallCaps w:val="false"/>
          <w:sz w:val="20"/>
          <w:u w:val="single"/>
        </w:rPr>
        <w:t>Terms of Securities</w:t>
      </w:r>
      <w:r>
        <w:rPr>
          <w:rFonts w:ascii="Times New Roman;Times;Serif" w:hAnsi="Times New Roman;Times;Serif"/>
          <w:b w:val="false"/>
          <w:i w:val="false"/>
          <w:caps w:val="false"/>
          <w:smallCaps w:val="false"/>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2.8 of this Indenture and in addition thereto, any Global Security shall be exchangeable pursuant to Section 2.8 of this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determines in its sole discretion not to have such Securities represented by one or more Global Securities and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2.15.2,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120" w:after="120"/>
        <w:ind w:left="120" w:right="120" w:firstLine="1102"/>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2.15.6. </w:t>
      </w:r>
      <w:r>
        <w:rPr>
          <w:rFonts w:ascii="Times New Roman;Times;Serif" w:hAnsi="Times New Roman;Times;Serif"/>
          <w:b w:val="false"/>
          <w:i w:val="false"/>
          <w:caps w:val="false"/>
          <w:smallCaps w:val="false"/>
          <w:sz w:val="20"/>
          <w:u w:val="single"/>
        </w:rPr>
        <w:t>Consents, Declaration and Directions</w:t>
      </w:r>
      <w:r>
        <w:rPr>
          <w:rFonts w:ascii="Times New Roman;Times;Serif" w:hAnsi="Times New Roman;Times;Serif"/>
          <w:b w:val="false"/>
          <w:i w:val="false"/>
          <w:caps w:val="false"/>
          <w:smallCaps w:val="false"/>
          <w:sz w:val="20"/>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val="false"/>
          <w:caps w:val="false"/>
          <w:smallCaps w:val="false"/>
          <w:sz w:val="20"/>
          <w:u w:val="single"/>
        </w:rPr>
        <w:t>Evidence of Ownership</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Notice to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to the Trustee at least 45 days before the redemption date, unless a shorter period is satisfactory to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including selecting by lot or other method, unless otherwise required by law or applicable stock exchange requirements, subject, in the case of Global Securities, to the applicable rules and procedures of the Depositary;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unredeemed portion of the principal amount of any Security shall be in an authorized denomination (which shall not be less than the minimum authorized denomination) for such Security. The Trustee shall make the selection from Securities of the Series outstanding not previously called for redemption. Provisions of this Indenture that apply to Securities of a Series called for redemption also apply to portions of Securities of that Series called for redemption.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 and, if applicable, the conversion Agent;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convertible Securities, the conversion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Securities of the Series (or portion thereof) called for redemption must be surrendered to the Paying Agent to collect the redemption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interest on Securities of the Series called for redemption ceases to accrue on and after the redemption date unless the Company defaults in the deposit of the redemption price;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CUSIP number, if any, and state that no representation is made as to the correctness or accuracy of the CUSIP number, if any, listed in the SEC’s notice or printed on the Securities;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information as may be required by the terms of the particular Series or the Securities of a Series being redeemed.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has delivered to the Trustee, at least 15 days (unless a shorter time shall be acceptable to the Trustee) prior to the notice date, an Officer’s Certificate requesting that the Trustee give such notice and setting forth the information to be stated in such notice.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other than Securities or portions of Securities called for redemption which have been delivered by the Company to the Registrar for cancellation. The Paying Agent shall return to the Company any money not required for that purpose.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shall default in the payment of Securities (and accrued interest) called for redemption, interest on such Securities shall cease to accrue after the redemption date. Convertible Securities called for redemption shall cease to be convertible after the close of business on the Business Day immediately preceding the redemption date, unless the Company shall default in the payment of such Securities on the redemption date, in which event the Securities shall remain convertible until paid (together with accrued interest).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give notice of redemption, or any defect in such notice to the Holder of any Security of a Series designated for redemption, in whole or in part, shall not affect the sufficiency of any notice of redemption with respect to the Holder of any other Security of such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the Company shall deposit with the Paying Agent money sufficient to pay the redemption price of and accrued interest, if any, on all Securities to be redeemed on that date.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Principal and interest shall be considered paid on the date due if the Paying Agent holds in accordance with this Indenture on that date money sufficient to pay all principal and interest then due and the Paying Agent is not prohibited from paying such money to the Holders on such date pursuant to the terms of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Reports by Company</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long as any Securities are outstanding, the Company shall file with the Trustee, and transmit to the Holders, such information, documents and other reports, and such summaries thereof, as may be required pursuant to TIA § 314(a). All reports, information and documents referred to in this Section 4.2 will be deemed to be filed with the Trustee and transmitted to the Holders at the time such reports, information or documents are publicly filed with the SEC via the SEC’s EDGAR filing system (or any successor system), it being understood that the Trustee shall have no responsibility whatsoever to determine if such filings have been made.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reports, information and documents to the Trustee under this Section 4.2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Securities of a Series are outstanding, the Company shall deliver to the Trustee, within 120 days after the end of each fiscal year of the Company, an Officer’s Certificate (which need not contain the statements provided for in Section 10.4)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rights (charter and statutory);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with or merge with or into, sell, convey, transfer or dispose of all or substantially all of its assets to any other person (a “</w:t>
      </w:r>
      <w:r>
        <w:rPr>
          <w:rFonts w:ascii="Times New Roman;Times;Serif" w:hAnsi="Times New Roman;Times;Serif"/>
          <w:b w:val="false"/>
          <w:i/>
          <w:caps w:val="false"/>
          <w:smallCaps w:val="false"/>
          <w:sz w:val="20"/>
        </w:rPr>
        <w:t>successor person</w:t>
      </w:r>
      <w:r>
        <w:rPr>
          <w:rFonts w:ascii="Times New Roman;Times;Serif" w:hAnsi="Times New Roman;Times;Serif"/>
          <w:b w:val="false"/>
          <w:i w:val="false"/>
          <w:caps w:val="false"/>
          <w:smallCaps w:val="false"/>
          <w:sz w:val="20"/>
        </w:rPr>
        <w:t>”), whether in one transaction or a series of related transactions, unless: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is the surviving corporation or (ii) the successor person (if other than the Company) (A) is a corporation, limited liability corporation, partnership or trust organized under the laws of the United States; and (B) expressly assumes, by an indenture supplemental hereto, the Company’s obligations on the Securities and under this Indenture;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happened and be continuing.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prior to the consummation of the proposed transaction an Officer’s Certificate to the foregoing effect and an Opinion of Counsel stating that the proposed transaction and any supplemental indenture comply with Section 5.1 of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Successor Person Substituted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conveyance, transfer, or lease of all or substantially all of the assets of the Company and its Subsidiaries in accordance with Section 5.1, the successor person formed by such consolidation or into or with which the Company is merged or to which such sale, conveyance, transfer, or lease is made shall succeed to, and be substituted for, and may exercise every right and power of, the Company under this Indenture and the Securities with the same effect as if such successor person has been named as the Company herein; and, thereafter, the predecessor Company, in the case of a sale, conveyance or transfer (other than a lease), shall be released from all obligations and covenants under this Indenture and the Securities.</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AND REMEDIES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(a) failure to pay any interest on any Security of that Series when it becomes due and payable, and continuance of such default for a period of 30 days (unless the entire amount of such payment is deposited by the Company with the Trustee or with a Paying Agent prior to 10:00 a.m., New York City time, on the 30</w:t>
      </w:r>
      <w:r>
        <w:rPr>
          <w:rFonts w:ascii="Times New Roman;Times;Serif" w:hAnsi="Times New Roman;Times;Serif"/>
          <w:b w:val="false"/>
          <w:i w:val="false"/>
          <w:caps w:val="false"/>
          <w:smallCaps w:val="false"/>
          <w:sz w:val="15"/>
        </w:rPr>
        <w:t>th</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0"/>
        </w:rPr>
        <w:t>day of such period);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pay principal of any Security of that Series at its Maturity;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performance or breach of any covenant of the Company in this Indenture (other than defaults pursuant to sub-clauses (a) through (c) above or defaults related to a covenant that has been included in this Indenture solely for the benefit of a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pursuant to or within the meaning of any Bankruptcy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court of competent jurisdiction enters an order or decree under any Bankruptcy Law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days;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with respect to Securities of that Series, which is specified in a Board Resolution, a supplemental indenture hereto or an Officer’s Certificate, in accordance with Section 2.2.18.</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 The term “</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Securities issued under this Indenture will not necessarily be a default under another Series of Securities under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so long as any of the Securities are outstanding, deliver to the Trustee, within 30 days of becoming aware of any Default or Event of Default, an Officer’s Certificate specifying such Default or Event of Default and what action the Company is taking or proposes to take with respect thereto.</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become and be immediately due and payable without any declaration or other act on the part of the Trustee or any Holder.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is made in the deposit of any sinking fund payment, if any, when and as due by the terms of a Security,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relating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to the Trustee under this Indenture;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all indebtedness of the Company to which such Series of Securities is subordinated to the extent required by Article 12 of this Indenture;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25% in principal amount of the outstanding Securities of that Series have made written request to the Trustee to institute proceedings in respect of such Event of Default in its own name as Trustee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has failed to institute any such proceeding for 60 days after its receipt of such notice, request and offer of indemnity;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principal amount of the outstanding Securities of that Series;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does not have an affirmative duty to ascertain whether or not such actions or forbearances are unduly prejudicial to such 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has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taking any action as directed under this Section 6.12, the Trustee shall be entitled to indemnity satisfactory to it against the costs, expenses and liabilities which might be incurred by it in compliance with such request or direction.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Holders of a majority in principal amount of the outstanding Securities of any Series may rescind an acceleration and its consequences, including any related payment default that resulted from such acceleration).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sub-clause (c) does not limit the effect of sub-clause (b) of this Section 7.1.</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sub-clauses (a), (b) and (c) of this Section 7.1.</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indemnity satisfactory to it against the costs, expenses and liabilities which might be incurred by it in performing such duty or exercising such right or power.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protections and immunities as are set forth in sub-clauses (e), (f) and (g) of this Section 7.1 and in Section 7.2, each with respect to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shall be entitled to receive an Officer’s Certificate or an Opinion of Counsel or both. The Trustee shall not be liable for any action it takes or omits to take in good faith in conclusive reliance on such Officer’s Certificate or Opinion of Counsel.</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 direction of any of the Holders of Securities unless such Holders shall have offered to the Trustee security or indemnity reasonably satisfactory to it against the costs, expenses and liabilities which might be incurred by it in compliance with such request or direction.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shall incur no liability or additional liability of any kind by reason of such inquiry or investigation.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w:t>
      </w:r>
    </w:p>
    <w:p>
      <w:pPr>
        <w:pStyle w:val="TextBody"/>
        <w:bidi w:val="0"/>
        <w:spacing w:before="240" w:after="240"/>
        <w:ind w:left="240" w:right="240" w:firstLine="49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 of the Trustee to take the actions permitted by this Indenture shall not be construed as an obligation or duty to do so.</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request that the Company deliver a certificate setting forth the names of individuals and/or titles of officers authorized at such time to take specified actions pursuant to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of the Company with the same rights it would have if it were not Trustee. Any Agent may do the same with like rights. However, the Trustee is also subject to Sections 7.10 and 7.11 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Reports by Trustee to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after each anniversary of the date of this Indenture, the Trustee shall transmit by mail to all Securityholders, as their names and addresses appear on the register kept by the Registrar, a brief report dated as of such reporting date, in accordance with, and to the extent required under, TIA § 313.</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of any delisting thereof.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each of the Trustee and any predecessor Trustee against any cost, expense, claim (whether asserted by the Company, a Holder or any other person) or liability (including the cost of defending itself), including taxes (other than taxes based upon, measured by or determined by the income of the Trustee), incurred by it except as set forth in the next paragraph in the performance of its duties under this Indenture as Trustee or Agent.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or shareholder of the Trustee through willful misconduct or negligence.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6.1(f) or (g) occurs, the expenses and the compensation for the services are intended to constitute expenses of administration under any Bankruptcy Law.</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7.7 shall survive the termination of this Indenture or the resignation or removal of the Trustee.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7.8.</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at any time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The Company may remove the Trustee with respect to Securities of one or more Series if:</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30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at the expense of the Company.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if such successor corporation is eligible and qualified under Section 7.10.</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DEFEASANCE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8.1), and the Trustee, at the expense of the Company, shall execute instruments acknowledging satisfaction and discharge of this Indenture, when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as provided in Section 2.9) have been delivered to the Trustee for cancellation;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one year,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have been called for redemption or are to be called for redemption within one year under arrangements satisfactory to the Trustee for the giving of notice of redemption by the Trustee in the name, and at the expense, of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Company, in the case of (1), (2) or (3) above, has irrevocably deposited or caused to be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120" w:after="120"/>
        <w:ind w:left="120" w:right="120" w:firstLine="49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7.7, and, if money shall have been deposited with the Trustee pursuant to sub-clause (a) of this Section 8.1, the provisions of Sections 2.5, 2.8, 2.9, 8.2 and 8.5 shall survive.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Application of Trust Funds; Indemnification</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8.5, all money or U.S. Government Obligations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Legal Defeasance of Securities of any Series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sub-clause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sub-clause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2.5, 2.8, 2.9, 8.2, 8.3 and 8.5;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and the Company’s obligations in connection therewith;</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following conditions shall have been satisfied: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delivered to the Trustee an Officer’s Certificate and an Opinion of Counsel, each stating that all conditions precedent provided for relating to the defeasance contemplated by this Section 8.3 have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8.4 is otherwise specified pursuant to Section 2.2 to be inapplicable to Securities of any Series, the Company may omit to comply with respect to the Securities of any Series with any term, provision or condition set forth under Sections 4.2 and 4.3, 4.4 and 5.1as well as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to the effect that Holders of the Securities of such Series will not recognize income, gain or loss for U.S. federal income tax purposes as a result of such deposit and covenant defeasance and will be subject to U.S. federal income tax on the same amounts, in the same manner and at the same times as would have been the case if such deposit and covenant defeasance had not occurred;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covenant defeasance contemplated by this Section 8.4 have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 the Trustee and the Paying Agent shall pay to the Company upon request any money held by them for the payment of principal or interest that remains unclaimed for two years after such principal or interest has become due and payable. After that, Securityholders entitled to the money must look to the Company for payment as general creditors unless an applicable abandoned property law designates another person.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add guarantees with respect to any Series of Securities or secure any Series of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surrender any of the Company’s rights or powers under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covenants or Events of Default for the benefit of the Securityholders of any Series of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comply with the applicable rules or procedures of the Depositary;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cure any ambiguity, defect or inconsistency, as described in the Officer’s Certificate delivered pursuant to Section 10.4;</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comply with Article V;</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uncertificated Securities in addition to or in place of certificated Securities;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any change that does not materially adversely affect the rights of any Securityholder;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provide for the issuance of and establish the form and terms and conditions of Securities of any Series as permitted by this Indenture;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comply with requirements of the SEC in order to effect or maintain the qualification of this Indenture under the TIA;</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comply with the rules or regulations of any securities exchange or automated quotation system on which any of the Securities may be listed or traded;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change or eliminate any of the provisions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such change or elimination shall not be effective with respect to any outstanding Securities of any Series created prior to the execution of such supplemental indenture which is entitled to the benefit of such provision.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written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9.2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Securities whose Holders must consent to an amendment, supplement or waiver;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time for payment of interest (including default interest) on any Security or that Series;</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change the Stated Maturity of, any Security or reduce the amount of, or postpone the date fixed for, the payment of any sinking fund or analogous obligation;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amount of Discount Securities payable upon acceleration of the maturity thereof;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waive a Default or Event of Default in the payment of the principal of or interest, if any, on any Security (except a rescission of acceleration of the Securities of any Series by the Holders of at least a majority in principal amount of the then outstanding Securities of such Series and a waiver of the payment default that resulted from such acceleration);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the principal of or interest, if any, on any Security payable in any currency other than that stated in the Security;</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change in Sections 6.8 or 6.13 or this Section 9.3; or</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redemption payment with respect to any Security.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w:t>
      </w:r>
      <w:r>
        <w:rPr>
          <w:rFonts w:ascii="Times New Roman;Times;Serif" w:hAnsi="Times New Roman;Times;Serif"/>
          <w:b w:val="false"/>
          <w:i w:val="false"/>
          <w:caps w:val="false"/>
          <w:smallCaps w:val="false"/>
          <w:sz w:val="20"/>
          <w:u w:val="single"/>
        </w:rPr>
        <w:t>Compliance with Trust Indenture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sub-clauses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receive, and (subject to Section 7.1) shall be fully protected in conclusively relying upon, an Officer’s Certificate or an Opinion of Counsel or both complying with Section 10.4 and stating that the supplemental indenture is the legal, valid and binding obligation of the Company, enforceable against the Company in accordance with its terms, subject to customary exceptions. The Trustee shall sign all supplemental indentures upon delivery of such an Officer’s Certificate or Opinion of Counsel or both, except that the Trustee need not sign any supplemental indenture that, in its sole discretion, adversely affects its rights.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notice or communication by the Company or the Trustee to the other, or by a Holder to the Company or the Trustee, is duly given if in writing and delivered in person or mailed by first-class mail:</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 Suite 125</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 94588</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bl>
      <w:tblPr>
        <w:tblW w:w="2305" w:type="dxa"/>
        <w:jc w:val="left"/>
        <w:tblInd w:w="0" w:type="dxa"/>
        <w:tblLayout w:type="fixed"/>
        <w:tblCellMar>
          <w:top w:w="0" w:type="dxa"/>
          <w:left w:w="0" w:type="dxa"/>
          <w:bottom w:w="0" w:type="dxa"/>
          <w:right w:w="0" w:type="dxa"/>
        </w:tblCellMar>
      </w:tblPr>
      <w:tblGrid>
        <w:gridCol w:w="1370"/>
        <w:gridCol w:w="60"/>
        <w:gridCol w:w="875"/>
      </w:tblGrid>
      <w:tr>
        <w:trPr/>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Trustee: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r>
    </w:tbl>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for subsequent notices or communications.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shall mail a copy to the Trustee and each Agent at the same time.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hereto for a particular Series, a “</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stockholder (past or present),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Governing Law; Jury Trial Waiver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INDENTURE AND THE SECURITIES, INCLUDING ANY CLAIM OR CONTROVERSY ARISING OUT OF OR RELATING TO THIS INDENTURE OR THE SECURITIES, SHALL BE GOVERNED BY THE LAWS OF THE STATE OF NEW YORK (WITHOUT REGARD TO THE CONFLICTS OF LAWS PROVISIONS THEREOF OTHER THAN SECTION 5-1401 OF THE GENERAL OBLIGATIONS LAW).</w:t>
      </w:r>
    </w:p>
    <w:p>
      <w:pPr>
        <w:pStyle w:val="TextBody"/>
        <w:bidi w:val="0"/>
        <w:spacing w:before="240" w:after="240"/>
        <w:ind w:left="240" w:right="240" w:firstLine="11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val="false"/>
          <w:caps w:val="false"/>
          <w:smallCaps w:val="false"/>
          <w:sz w:val="20"/>
          <w:u w:val="single"/>
        </w:rPr>
        <w:t>Securities in a Foreign Currency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Times;Serif" w:hAnsi="Times New Roman;Times;Serif"/>
          <w:b w:val="false"/>
          <w:i/>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w:t>
      </w:r>
      <w:r>
        <w:rPr>
          <w:rFonts w:ascii="Times New Roman;Times;Serif" w:hAnsi="Times New Roman;Times;Serif"/>
          <w:b w:val="false"/>
          <w:i/>
          <w:caps w:val="false"/>
          <w:smallCaps w:val="false"/>
          <w:sz w:val="20"/>
        </w:rPr>
        <w:t>mandatory sinking fund payment</w:t>
      </w:r>
      <w:r>
        <w:rPr>
          <w:rFonts w:ascii="Times New Roman;Times;Serif" w:hAnsi="Times New Roman;Times;Serif"/>
          <w:b w:val="false"/>
          <w:i w:val="false"/>
          <w:caps w:val="false"/>
          <w:smallCaps w:val="false"/>
          <w:sz w:val="20"/>
        </w:rPr>
        <w:t>” and any other amount provided for by the terms of Securities of such Series is herein referred to as an “</w:t>
      </w:r>
      <w:r>
        <w:rPr>
          <w:rFonts w:ascii="Times New Roman;Times;Serif" w:hAnsi="Times New Roman;Times;Serif"/>
          <w:b w:val="false"/>
          <w:i/>
          <w:caps w:val="false"/>
          <w:smallCaps w:val="false"/>
          <w:sz w:val="20"/>
        </w:rPr>
        <w:t>optional sinking fund payment</w:t>
      </w:r>
      <w:r>
        <w:rPr>
          <w:rFonts w:ascii="Times New Roman;Times;Serif" w:hAnsi="Times New Roman;Times;Serif"/>
          <w:b w:val="false"/>
          <w:i w:val="false"/>
          <w:caps w:val="false"/>
          <w:smallCaps w:val="false"/>
          <w:sz w:val="20"/>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repurchased by the Company or redeemed either at the election of the Company pursuant to the terms of the Securities of such Series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 OF SECURITIES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 </w:t>
      </w:r>
      <w:r>
        <w:rPr>
          <w:rFonts w:ascii="Times New Roman;Times;Serif" w:hAnsi="Times New Roman;Times;Serif"/>
          <w:b w:val="false"/>
          <w:i w:val="false"/>
          <w:caps w:val="false"/>
          <w:smallCaps w:val="false"/>
          <w:sz w:val="20"/>
          <w:u w:val="single"/>
        </w:rPr>
        <w:t>Subordination of Terms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by the Company of the principal of, premium, if any, and interest on any Series of Securities issued under this Indenture shall be subordinated to the extent set forth in a Board Resolution, supplemental indenture hereto or Officer’s Certificate relating to such Series of Securities.</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ind w:left="0" w:right="0" w:firstLine="1102"/>
        <w:jc w:val="left"/>
        <w:rPr>
          <w:caps w:val="false"/>
          <w:smallCaps w:val="false"/>
        </w:rPr>
      </w:pPr>
      <w:r>
        <w:rPr>
          <w:caps w:val="false"/>
          <w:smallCaps w:val="false"/>
        </w:rPr>
        <w:t> </w:t>
      </w:r>
    </w:p>
    <w:tbl>
      <w:tblPr>
        <w:tblW w:w="1849" w:type="dxa"/>
        <w:jc w:val="left"/>
        <w:tblInd w:w="0" w:type="dxa"/>
        <w:tblLayout w:type="fixed"/>
        <w:tblCellMar>
          <w:top w:w="0" w:type="dxa"/>
          <w:left w:w="0" w:type="dxa"/>
          <w:bottom w:w="0" w:type="dxa"/>
          <w:right w:w="0" w:type="dxa"/>
        </w:tblCellMar>
      </w:tblPr>
      <w:tblGrid>
        <w:gridCol w:w="75"/>
        <w:gridCol w:w="604"/>
        <w:gridCol w:w="113"/>
        <w:gridCol w:w="1057"/>
      </w:tblGrid>
      <w:tr>
        <w:trPr/>
        <w:tc>
          <w:tcPr>
            <w:tcW w:w="75" w:type="dxa"/>
            <w:tcBorders/>
            <w:vAlign w:val="center"/>
          </w:tcPr>
          <w:p>
            <w:pPr>
              <w:pStyle w:val="TableContents"/>
              <w:bidi w:val="0"/>
              <w:spacing w:before="0" w:after="283"/>
              <w:ind w:left="0" w:right="0" w:hanging="200"/>
              <w:jc w:val="left"/>
              <w:rPr/>
            </w:pPr>
            <w:r>
              <w:rPr/>
              <w:t> </w:t>
            </w:r>
          </w:p>
        </w:tc>
        <w:tc>
          <w:tcPr>
            <w:tcW w:w="17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AEYE, INC., as Issuer</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c>
          <w:tcPr>
            <w:tcW w:w="1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c>
          <w:tcPr>
            <w:tcW w:w="1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c>
          <w:tcPr>
            <w:tcW w:w="10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Trustee</w:t>
            </w:r>
          </w:p>
        </w:tc>
      </w:tr>
    </w:tbl>
    <w:p>
      <w:pPr>
        <w:pStyle w:val="TextBody"/>
        <w:bidi w:val="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6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4"/>
        </w:rPr>
      </w:pPr>
      <w:bookmarkStart w:id="25" w:name="ss6342442_ex0501.htm"/>
      <w:bookmarkStart w:id="26" w:name="ksss6342442_ex0501"/>
      <w:bookmarkEnd w:id="25"/>
      <w:bookmarkEnd w:id="26"/>
      <w:r>
        <w:rPr>
          <w:rFonts w:ascii="Times New Roman;Times;Serif" w:hAnsi="Times New Roman;Times;Serif"/>
          <w:b/>
          <w:i w:val="false"/>
          <w:caps w:val="false"/>
          <w:smallCaps w:val="false"/>
          <w:sz w:val="24"/>
        </w:rPr>
        <w:t>Exhibit 5.1</w:t>
      </w:r>
      <w:r>
        <w:br w:type="page"/>
      </w:r>
    </w:p>
    <w:p>
      <w:pPr>
        <w:pStyle w:val="TextBody"/>
        <w:bidi w:val="0"/>
        <w:jc w:val="righ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3255"/>
      </w:tblGrid>
      <w:tr>
        <w:trPr/>
        <w:tc>
          <w:tcPr>
            <w:tcW w:w="325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047875" cy="1714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23"/>
                          <a:stretch>
                            <a:fillRect/>
                          </a:stretch>
                        </pic:blipFill>
                        <pic:spPr bwMode="auto">
                          <a:xfrm>
                            <a:off x="0" y="0"/>
                            <a:ext cx="2047875" cy="171450"/>
                          </a:xfrm>
                          <a:prstGeom prst="rect">
                            <a:avLst/>
                          </a:prstGeom>
                        </pic:spPr>
                      </pic:pic>
                    </a:graphicData>
                  </a:graphic>
                </wp:inline>
              </w:drawing>
            </w:r>
          </w:p>
        </w:tc>
      </w:tr>
      <w:tr>
        <w:trPr/>
        <w:tc>
          <w:tcPr>
            <w:tcW w:w="3255" w:type="dxa"/>
            <w:tcBorders/>
            <w:vAlign w:val="center"/>
          </w:tcPr>
          <w:p>
            <w:pPr>
              <w:pStyle w:val="TableContents"/>
              <w:bidi w:val="0"/>
              <w:jc w:val="center"/>
              <w:rPr>
                <w:rFonts w:ascii="Arial;Helvetica;Sans-Serif" w:hAnsi="Arial;Helvetica;Sans-Serif"/>
                <w:b w:val="false"/>
                <w:i w:val="false"/>
                <w:caps/>
                <w:spacing w:val="10"/>
                <w:sz w:val="16"/>
              </w:rPr>
            </w:pPr>
            <w:r>
              <w:rPr>
                <w:rFonts w:ascii="Arial;Helvetica;Sans-Serif" w:hAnsi="Arial;Helvetica;Sans-Serif"/>
                <w:b w:val="false"/>
                <w:i w:val="false"/>
                <w:caps/>
                <w:spacing w:val="10"/>
                <w:sz w:val="16"/>
              </w:rPr>
              <w:t>800 capitol street</w:t>
            </w:r>
          </w:p>
          <w:p>
            <w:pPr>
              <w:pStyle w:val="TableContents"/>
              <w:bidi w:val="0"/>
              <w:jc w:val="center"/>
              <w:rPr>
                <w:rFonts w:ascii="Arial;Helvetica;Sans-Serif" w:hAnsi="Arial;Helvetica;Sans-Serif"/>
                <w:b w:val="false"/>
                <w:i w:val="false"/>
                <w:caps/>
                <w:spacing w:val="10"/>
                <w:sz w:val="16"/>
              </w:rPr>
            </w:pPr>
            <w:r>
              <w:rPr>
                <w:rFonts w:ascii="Arial;Helvetica;Sans-Serif" w:hAnsi="Arial;Helvetica;Sans-Serif"/>
                <w:b w:val="false"/>
                <w:i w:val="false"/>
                <w:caps/>
                <w:spacing w:val="10"/>
                <w:sz w:val="16"/>
              </w:rPr>
              <w:t>Suite 2200</w:t>
            </w:r>
          </w:p>
          <w:p>
            <w:pPr>
              <w:pStyle w:val="TableContents"/>
              <w:bidi w:val="0"/>
              <w:jc w:val="center"/>
              <w:rPr>
                <w:rFonts w:ascii="Arial;Helvetica;Sans-Serif" w:hAnsi="Arial;Helvetica;Sans-Serif"/>
                <w:b w:val="false"/>
                <w:i w:val="false"/>
                <w:caps/>
                <w:spacing w:val="10"/>
                <w:sz w:val="16"/>
              </w:rPr>
            </w:pPr>
            <w:r>
              <w:rPr>
                <w:rFonts w:ascii="Arial;Helvetica;Sans-Serif" w:hAnsi="Arial;Helvetica;Sans-Serif"/>
                <w:b w:val="false"/>
                <w:i w:val="false"/>
                <w:caps/>
                <w:spacing w:val="10"/>
                <w:sz w:val="16"/>
              </w:rPr>
              <w:t>Houston, Tx 77002</w:t>
            </w:r>
          </w:p>
          <w:p>
            <w:pPr>
              <w:pStyle w:val="TableContents"/>
              <w:bidi w:val="0"/>
              <w:spacing w:lineRule="atLeast" w:line="200" w:before="0" w:after="480"/>
              <w:jc w:val="center"/>
              <w:rPr>
                <w:rFonts w:ascii="Arial;Helvetica;Sans-Serif" w:hAnsi="Arial;Helvetica;Sans-Serif"/>
                <w:b w:val="false"/>
                <w:i w:val="false"/>
                <w:caps/>
                <w:spacing w:val="10"/>
                <w:sz w:val="16"/>
              </w:rPr>
            </w:pPr>
            <w:r>
              <w:rPr>
                <w:rFonts w:ascii="Arial;Helvetica;Sans-Serif" w:hAnsi="Arial;Helvetica;Sans-Serif"/>
                <w:b w:val="false"/>
                <w:i w:val="false"/>
                <w:caps/>
                <w:spacing w:val="10"/>
                <w:sz w:val="16"/>
              </w:rPr>
              <w:t>+1.713.354.4900</w:t>
            </w:r>
          </w:p>
        </w:tc>
      </w:tr>
    </w:tbl>
    <w:p>
      <w:pPr>
        <w:pStyle w:val="TextBody"/>
        <w:bidi w:val="0"/>
        <w:ind w:left="5040" w:right="0" w:hanging="0"/>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 19,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AEye, Inc.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4670 Willow Road, Suite 125</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Pleasanton, California 94588</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AEye,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Registration Statement/Form S-3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Ladies and Gentlemen: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have acted as counsel to AEye, Inc., a Delaware corporation (the “</w:t>
      </w:r>
      <w:r>
        <w:rPr>
          <w:rFonts w:ascii="Times New Roman;Times;Serif" w:hAnsi="Times New Roman;Times;Serif"/>
          <w:b w:val="false"/>
          <w:i w:val="false"/>
          <w:caps w:val="false"/>
          <w:smallCaps w:val="false"/>
          <w:sz w:val="24"/>
          <w:u w:val="single"/>
        </w:rPr>
        <w:t>Company</w:t>
      </w:r>
      <w:r>
        <w:rPr>
          <w:rFonts w:ascii="Times New Roman;Times;Serif" w:hAnsi="Times New Roman;Times;Serif"/>
          <w:b w:val="false"/>
          <w:i w:val="false"/>
          <w:caps w:val="false"/>
          <w:smallCaps w:val="false"/>
          <w:sz w:val="24"/>
        </w:rPr>
        <w:t>”), in connection with the preparation and filing by the Company of the Registration Statement on Form S-3 (such registration statement, including the documents incorporated by reference therein, the “</w:t>
      </w:r>
      <w:r>
        <w:rPr>
          <w:rFonts w:ascii="Times New Roman;Times;Serif" w:hAnsi="Times New Roman;Times;Serif"/>
          <w:b w:val="false"/>
          <w:i w:val="false"/>
          <w:caps w:val="false"/>
          <w:smallCaps w:val="false"/>
          <w:sz w:val="24"/>
          <w:u w:val="single"/>
        </w:rPr>
        <w:t>Registration Statement</w:t>
      </w:r>
      <w:r>
        <w:rPr>
          <w:rFonts w:ascii="Times New Roman;Times;Serif" w:hAnsi="Times New Roman;Times;Serif"/>
          <w:b w:val="false"/>
          <w:i w:val="false"/>
          <w:caps w:val="false"/>
          <w:smallCaps w:val="false"/>
          <w:sz w:val="24"/>
        </w:rPr>
        <w:t>”), including the base prospectus contained therein and any subsequent prospectus supplements and any free writing prospectuses relating thereto, relating to the registration with the Securities and Exchange Commission (the “</w:t>
      </w:r>
      <w:r>
        <w:rPr>
          <w:rFonts w:ascii="Times New Roman;Times;Serif" w:hAnsi="Times New Roman;Times;Serif"/>
          <w:b w:val="false"/>
          <w:i w:val="false"/>
          <w:caps w:val="false"/>
          <w:smallCaps w:val="false"/>
          <w:sz w:val="24"/>
          <w:u w:val="single"/>
        </w:rPr>
        <w:t>Commission</w:t>
      </w:r>
      <w:r>
        <w:rPr>
          <w:rFonts w:ascii="Times New Roman;Times;Serif" w:hAnsi="Times New Roman;Times;Serif"/>
          <w:b w:val="false"/>
          <w:i w:val="false"/>
          <w:caps w:val="false"/>
          <w:smallCaps w:val="false"/>
          <w:sz w:val="24"/>
        </w:rPr>
        <w:t>”) under the Securities Act of 1933 (“</w:t>
      </w:r>
      <w:r>
        <w:rPr>
          <w:rFonts w:ascii="Times New Roman;Times;Serif" w:hAnsi="Times New Roman;Times;Serif"/>
          <w:b w:val="false"/>
          <w:i w:val="false"/>
          <w:caps w:val="false"/>
          <w:smallCaps w:val="false"/>
          <w:sz w:val="24"/>
          <w:u w:val="single"/>
        </w:rPr>
        <w:t>Act</w:t>
      </w:r>
      <w:r>
        <w:rPr>
          <w:rFonts w:ascii="Times New Roman;Times;Serif" w:hAnsi="Times New Roman;Times;Serif"/>
          <w:b w:val="false"/>
          <w:i w:val="false"/>
          <w:caps w:val="false"/>
          <w:smallCaps w:val="false"/>
          <w:sz w:val="24"/>
        </w:rPr>
        <w:t>”), as amended, of the issuance and sale from time to time by the Company, on a delayed or continuous basis pursuant to Rule 415 promulgated under the Act, of an indeterminate number of the following securities (collectively, the “</w:t>
      </w:r>
      <w:r>
        <w:rPr>
          <w:rFonts w:ascii="Times New Roman;Times;Serif" w:hAnsi="Times New Roman;Times;Serif"/>
          <w:b w:val="false"/>
          <w:i w:val="false"/>
          <w:caps w:val="false"/>
          <w:smallCaps w:val="false"/>
          <w:sz w:val="24"/>
          <w:u w:val="single"/>
        </w:rPr>
        <w:t>Securities</w:t>
      </w:r>
      <w:r>
        <w:rPr>
          <w:rFonts w:ascii="Times New Roman;Times;Serif" w:hAnsi="Times New Roman;Times;Serif"/>
          <w:b w:val="false"/>
          <w:i w:val="false"/>
          <w:caps w:val="false"/>
          <w:smallCaps w:val="false"/>
          <w:sz w:val="24"/>
        </w:rPr>
        <w:t>”), the aggregate initial offering price of which will not exceed $200,000,000: (i) shares of common stock, par value $0.0001 per share (“</w:t>
      </w:r>
      <w:r>
        <w:rPr>
          <w:rFonts w:ascii="Times New Roman;Times;Serif" w:hAnsi="Times New Roman;Times;Serif"/>
          <w:b w:val="false"/>
          <w:i w:val="false"/>
          <w:caps w:val="false"/>
          <w:smallCaps w:val="false"/>
          <w:sz w:val="24"/>
          <w:u w:val="single"/>
        </w:rPr>
        <w:t>Common Stock</w:t>
      </w:r>
      <w:r>
        <w:rPr>
          <w:rFonts w:ascii="Times New Roman;Times;Serif" w:hAnsi="Times New Roman;Times;Serif"/>
          <w:b w:val="false"/>
          <w:i w:val="false"/>
          <w:caps w:val="false"/>
          <w:smallCaps w:val="false"/>
          <w:sz w:val="24"/>
        </w:rPr>
        <w:t>”); (ii) shares of preferred stock, par value $0.0001 per share (“</w:t>
      </w:r>
      <w:r>
        <w:rPr>
          <w:rFonts w:ascii="Times New Roman;Times;Serif" w:hAnsi="Times New Roman;Times;Serif"/>
          <w:b w:val="false"/>
          <w:i w:val="false"/>
          <w:caps w:val="false"/>
          <w:smallCaps w:val="false"/>
          <w:sz w:val="24"/>
          <w:u w:val="single"/>
        </w:rPr>
        <w:t>Preferred Stock</w:t>
      </w:r>
      <w:r>
        <w:rPr>
          <w:rFonts w:ascii="Times New Roman;Times;Serif" w:hAnsi="Times New Roman;Times;Serif"/>
          <w:b w:val="false"/>
          <w:i w:val="false"/>
          <w:caps w:val="false"/>
          <w:smallCaps w:val="false"/>
          <w:sz w:val="24"/>
        </w:rPr>
        <w:t>”); (iii) debt securities, in one or more series that may be convertible into or exchangeable for shares of Common Stock (“</w:t>
      </w:r>
      <w:r>
        <w:rPr>
          <w:rFonts w:ascii="Times New Roman;Times;Serif" w:hAnsi="Times New Roman;Times;Serif"/>
          <w:b w:val="false"/>
          <w:i w:val="false"/>
          <w:caps w:val="false"/>
          <w:smallCaps w:val="false"/>
          <w:sz w:val="24"/>
          <w:u w:val="single"/>
        </w:rPr>
        <w:t>Debt Securities</w:t>
      </w:r>
      <w:r>
        <w:rPr>
          <w:rFonts w:ascii="Times New Roman;Times;Serif" w:hAnsi="Times New Roman;Times;Serif"/>
          <w:b w:val="false"/>
          <w:i w:val="false"/>
          <w:caps w:val="false"/>
          <w:smallCaps w:val="false"/>
          <w:sz w:val="24"/>
        </w:rPr>
        <w:t>”); (iv) warrants to purchase Common Stock, Preferred Stock or Debt Securities (“</w:t>
      </w:r>
      <w:r>
        <w:rPr>
          <w:rFonts w:ascii="Times New Roman;Times;Serif" w:hAnsi="Times New Roman;Times;Serif"/>
          <w:b w:val="false"/>
          <w:i w:val="false"/>
          <w:caps w:val="false"/>
          <w:smallCaps w:val="false"/>
          <w:sz w:val="24"/>
          <w:u w:val="single"/>
        </w:rPr>
        <w:t>Warrants</w:t>
      </w:r>
      <w:r>
        <w:rPr>
          <w:rFonts w:ascii="Times New Roman;Times;Serif" w:hAnsi="Times New Roman;Times;Serif"/>
          <w:b w:val="false"/>
          <w:i w:val="false"/>
          <w:caps w:val="false"/>
          <w:smallCaps w:val="false"/>
          <w:sz w:val="24"/>
        </w:rPr>
        <w:t>”); (v) rights to purchase Common Stock, Preferred Stock or Debt Securities (“</w:t>
      </w:r>
      <w:r>
        <w:rPr>
          <w:rFonts w:ascii="Times New Roman;Times;Serif" w:hAnsi="Times New Roman;Times;Serif"/>
          <w:b w:val="false"/>
          <w:i w:val="false"/>
          <w:caps w:val="false"/>
          <w:smallCaps w:val="false"/>
          <w:sz w:val="24"/>
          <w:u w:val="single"/>
        </w:rPr>
        <w:t>Rights</w:t>
      </w:r>
      <w:r>
        <w:rPr>
          <w:rFonts w:ascii="Times New Roman;Times;Serif" w:hAnsi="Times New Roman;Times;Serif"/>
          <w:b w:val="false"/>
          <w:i w:val="false"/>
          <w:caps w:val="false"/>
          <w:smallCaps w:val="false"/>
          <w:sz w:val="24"/>
        </w:rPr>
        <w:t>”); (vi) units composed of any combination of Common Stock, Preferred Stock, Debt Securities or Warrants (“</w:t>
      </w:r>
      <w:r>
        <w:rPr>
          <w:rFonts w:ascii="Times New Roman;Times;Serif" w:hAnsi="Times New Roman;Times;Serif"/>
          <w:b w:val="false"/>
          <w:i w:val="false"/>
          <w:caps w:val="false"/>
          <w:smallCaps w:val="false"/>
          <w:sz w:val="24"/>
          <w:u w:val="single"/>
        </w:rPr>
        <w:t>Units</w:t>
      </w:r>
      <w:r>
        <w:rPr>
          <w:rFonts w:ascii="Times New Roman;Times;Serif" w:hAnsi="Times New Roman;Times;Serif"/>
          <w:b w:val="false"/>
          <w:i w:val="false"/>
          <w:caps w:val="false"/>
          <w:smallCaps w:val="false"/>
          <w:sz w:val="24"/>
        </w:rPr>
        <w:t>”); and (vii) such indeterminate amount of shares of Common Stock and Preferred Stock as may be issued upon conversion, exchange or exercise of the Securities registered pursuant to the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Times;Serif" w:hAnsi="Times New Roman;Times;Serif"/>
          <w:b w:val="false"/>
          <w:i w:val="false"/>
          <w:caps w:val="false"/>
          <w:smallCaps w:val="false"/>
          <w:sz w:val="24"/>
          <w:u w:val="single"/>
        </w:rPr>
        <w:t>Certificate of Designation</w:t>
      </w:r>
      <w:r>
        <w:rPr>
          <w:rFonts w:ascii="Times New Roman;Times;Serif" w:hAnsi="Times New Roman;Times;Serif"/>
          <w:b w:val="false"/>
          <w:i w:val="false"/>
          <w:caps w:val="false"/>
          <w:smallCaps w:val="false"/>
          <w:sz w:val="24"/>
        </w:rPr>
        <w:t>”). Each Certificate of Designation will be in a form to be filed as an exhibit to a post-effective amendment to the Registration Statement or a current report on Form 8-K, incorporated in such Registration Statement by reference.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 Narrow;Helvetica;Sans-Serif" w:hAnsi="Arial Narrow;Helvetica;Sans-Serif"/>
                <w:b/>
                <w:i w:val="false"/>
                <w:caps w:val="false"/>
                <w:smallCaps w:val="false"/>
                <w:sz w:val="16"/>
              </w:rPr>
            </w:pPr>
            <w:r>
              <w:rPr>
                <w:rFonts w:ascii="Arial Narrow;Helvetica;Sans-Serif" w:hAnsi="Arial Narrow;Helvetica;Sans-Serif"/>
                <w:b/>
                <w:i w:val="false"/>
                <w:caps w:val="false"/>
                <w:smallCaps w:val="false"/>
                <w:sz w:val="16"/>
              </w:rPr>
              <w:t>AOSHEARMAN.COM</w:t>
            </w:r>
          </w:p>
        </w:tc>
      </w:tr>
      <w:tr>
        <w:trPr/>
        <w:tc>
          <w:tcPr>
            <w:tcW w:w="10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Allen Overy Shearman Sterling US LLP is a limited liability partnership organized under the laws of the State of Delaware. Allen Overy Shearman Sterling US LLP is affiliated with Allen Overy Shearman Sterling LLP, a limited liability partnership registered in England and Wales with registered number OC306763 and with its registered office at One Bishops Square, London E1 6AD.  It is authorized and regulated by the Solicitors Regulation Authority of England and Wales (SRA number 401323).  The term partner is used to refer to a member of Allen Overy Shearman Sterling LLP or an employee or consultant with equivalent standing and qualifications.  A list of the members of Allen Overy Shearman Sterling LLP and of the non-members who are designated as partners is open to inspection at its registered office at One Bishops Square, London E1 6AD.</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120"/>
        <w:jc w:val="left"/>
        <w:rPr/>
      </w:pPr>
      <w:r>
        <w:rPr/>
        <w:t>Page 2 of 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Debt Securities will be issued in one or more series pursuant to an indenture proposed to be entered into by the Company and trustee party thereto to be determined at the time of execution of the indenture (the “</w:t>
      </w:r>
      <w:r>
        <w:rPr>
          <w:rFonts w:ascii="Times New Roman;Times;Serif" w:hAnsi="Times New Roman;Times;Serif"/>
          <w:b w:val="false"/>
          <w:i w:val="false"/>
          <w:caps w:val="false"/>
          <w:smallCaps w:val="false"/>
          <w:sz w:val="24"/>
          <w:u w:val="single"/>
        </w:rPr>
        <w:t>Trustee</w:t>
      </w:r>
      <w:r>
        <w:rPr>
          <w:rFonts w:ascii="Times New Roman;Times;Serif" w:hAnsi="Times New Roman;Times;Serif"/>
          <w:b w:val="false"/>
          <w:i w:val="false"/>
          <w:caps w:val="false"/>
          <w:smallCaps w:val="false"/>
          <w:sz w:val="24"/>
        </w:rPr>
        <w:t>”), the forms of which are filed as Exhibit 4.13 and 4.14 to the Registration Statement, as such indentures may be supplemented for any series of Debt Securities (collectively, the “</w:t>
      </w:r>
      <w:r>
        <w:rPr>
          <w:rFonts w:ascii="Times New Roman;Times;Serif" w:hAnsi="Times New Roman;Times;Serif"/>
          <w:b w:val="false"/>
          <w:i w:val="false"/>
          <w:caps w:val="false"/>
          <w:smallCaps w:val="false"/>
          <w:sz w:val="24"/>
          <w:u w:val="single"/>
        </w:rPr>
        <w:t>Indenture</w:t>
      </w:r>
      <w:r>
        <w:rPr>
          <w:rFonts w:ascii="Times New Roman;Times;Serif" w:hAnsi="Times New Roman;Times;Serif"/>
          <w:b w:val="false"/>
          <w:i w:val="false"/>
          <w:caps w:val="false"/>
          <w:smallCaps w:val="false"/>
          <w:sz w:val="24"/>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Warrants will be issued under one or more warrant agreements (each, a “</w:t>
      </w:r>
      <w:r>
        <w:rPr>
          <w:rFonts w:ascii="Times New Roman;Times;Serif" w:hAnsi="Times New Roman;Times;Serif"/>
          <w:b w:val="false"/>
          <w:i w:val="false"/>
          <w:caps w:val="false"/>
          <w:smallCaps w:val="false"/>
          <w:sz w:val="24"/>
          <w:u w:val="single"/>
        </w:rPr>
        <w:t>Warrant Agreement</w:t>
      </w:r>
      <w:r>
        <w:rPr>
          <w:rFonts w:ascii="Times New Roman;Times;Serif" w:hAnsi="Times New Roman;Times;Serif"/>
          <w:b w:val="false"/>
          <w:i w:val="false"/>
          <w:caps w:val="false"/>
          <w:smallCaps w:val="false"/>
          <w:sz w:val="24"/>
        </w:rPr>
        <w:t>”), each to be entered into between the Company and a financial institution identified therein as the warrant agent (each, a “</w:t>
      </w:r>
      <w:r>
        <w:rPr>
          <w:rFonts w:ascii="Times New Roman;Times;Serif" w:hAnsi="Times New Roman;Times;Serif"/>
          <w:b w:val="false"/>
          <w:i w:val="false"/>
          <w:caps w:val="false"/>
          <w:smallCaps w:val="false"/>
          <w:sz w:val="24"/>
          <w:u w:val="single"/>
        </w:rPr>
        <w:t>Warrant Agent</w:t>
      </w:r>
      <w:r>
        <w:rPr>
          <w:rFonts w:ascii="Times New Roman;Times;Serif" w:hAnsi="Times New Roman;Times;Serif"/>
          <w:b w:val="false"/>
          <w:i w:val="false"/>
          <w:caps w:val="false"/>
          <w:smallCaps w:val="false"/>
          <w:sz w:val="24"/>
        </w:rPr>
        <w:t>”). Any Warrant Agreement will be in a form to be filed as an exhibit to a post-effective amendment to the Registration Statement or a current report on Form 8-K, incorporated in such Registration Statement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Rights will be issued under one or more rights agreements (each, a “</w:t>
      </w:r>
      <w:r>
        <w:rPr>
          <w:rFonts w:ascii="Times New Roman;Times;Serif" w:hAnsi="Times New Roman;Times;Serif"/>
          <w:b w:val="false"/>
          <w:i w:val="false"/>
          <w:caps w:val="false"/>
          <w:smallCaps w:val="false"/>
          <w:sz w:val="24"/>
          <w:u w:val="single"/>
        </w:rPr>
        <w:t>Rights Agreement</w:t>
      </w:r>
      <w:r>
        <w:rPr>
          <w:rFonts w:ascii="Times New Roman;Times;Serif" w:hAnsi="Times New Roman;Times;Serif"/>
          <w:b w:val="false"/>
          <w:i w:val="false"/>
          <w:caps w:val="false"/>
          <w:smallCaps w:val="false"/>
          <w:sz w:val="24"/>
        </w:rPr>
        <w:t>”), each to be entered into between the Company and a financial institution identified therein as the rights agent (each, a “</w:t>
      </w:r>
      <w:r>
        <w:rPr>
          <w:rFonts w:ascii="Times New Roman;Times;Serif" w:hAnsi="Times New Roman;Times;Serif"/>
          <w:b w:val="false"/>
          <w:i w:val="false"/>
          <w:caps w:val="false"/>
          <w:smallCaps w:val="false"/>
          <w:sz w:val="24"/>
          <w:u w:val="single"/>
        </w:rPr>
        <w:t>Rights Agent</w:t>
      </w:r>
      <w:r>
        <w:rPr>
          <w:rFonts w:ascii="Times New Roman;Times;Serif" w:hAnsi="Times New Roman;Times;Serif"/>
          <w:b w:val="false"/>
          <w:i w:val="false"/>
          <w:caps w:val="false"/>
          <w:smallCaps w:val="false"/>
          <w:sz w:val="24"/>
        </w:rPr>
        <w:t>”). Any Rights Agreement will be in a form to be filed as an exhibit to a post-effective amendment to the Registration Statement or a current report on Form 8-K, incorporated in such Registration Statement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Units will be issued under one or more unit agreements (each, a “</w:t>
      </w:r>
      <w:r>
        <w:rPr>
          <w:rFonts w:ascii="Times New Roman;Times;Serif" w:hAnsi="Times New Roman;Times;Serif"/>
          <w:b w:val="false"/>
          <w:i w:val="false"/>
          <w:caps w:val="false"/>
          <w:smallCaps w:val="false"/>
          <w:sz w:val="24"/>
          <w:u w:val="single"/>
        </w:rPr>
        <w:t>Unit Agreement</w:t>
      </w:r>
      <w:r>
        <w:rPr>
          <w:rFonts w:ascii="Times New Roman;Times;Serif" w:hAnsi="Times New Roman;Times;Serif"/>
          <w:b w:val="false"/>
          <w:i w:val="false"/>
          <w:caps w:val="false"/>
          <w:smallCaps w:val="false"/>
          <w:sz w:val="24"/>
        </w:rPr>
        <w:t>”), each to be entered into between the Company and a financial institution identified therein as the unit agent (each, a “</w:t>
      </w:r>
      <w:r>
        <w:rPr>
          <w:rFonts w:ascii="Times New Roman;Times;Serif" w:hAnsi="Times New Roman;Times;Serif"/>
          <w:b w:val="false"/>
          <w:i w:val="false"/>
          <w:caps w:val="false"/>
          <w:smallCaps w:val="false"/>
          <w:sz w:val="24"/>
          <w:u w:val="single"/>
        </w:rPr>
        <w:t>Unit Agent</w:t>
      </w:r>
      <w:r>
        <w:rPr>
          <w:rFonts w:ascii="Times New Roman;Times;Serif" w:hAnsi="Times New Roman;Times;Serif"/>
          <w:b w:val="false"/>
          <w:i w:val="false"/>
          <w:caps w:val="false"/>
          <w:smallCaps w:val="false"/>
          <w:sz w:val="24"/>
        </w:rPr>
        <w:t>”). Any Unit Agreement will be in a form to be filed as an exhibit to a post-effective amendment to the Registration Statement or a current report on Form 8-K, incorporated in such Registration Statement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Indenture, any Certificate of Designation, any Warrant Agreements, any Rights Agreements, any Unit Agreements and any applicable underwriting or purchase agreement are hereinafter referred to as the “</w:t>
      </w:r>
      <w:r>
        <w:rPr>
          <w:rFonts w:ascii="Times New Roman;Times;Serif" w:hAnsi="Times New Roman;Times;Serif"/>
          <w:b w:val="false"/>
          <w:i w:val="false"/>
          <w:caps w:val="false"/>
          <w:smallCaps w:val="false"/>
          <w:sz w:val="24"/>
          <w:u w:val="single"/>
        </w:rPr>
        <w:t>Securities Documents</w:t>
      </w:r>
      <w:r>
        <w:rPr>
          <w:rFonts w:ascii="Times New Roman;Times;Serif" w:hAnsi="Times New Roman;Times;Serif"/>
          <w:b w:val="false"/>
          <w:i w:val="false"/>
          <w:caps w:val="false"/>
          <w:smallCaps w:val="false"/>
          <w:sz w:val="24"/>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connection with such matters, we have reviewed originals or copies of the following documents: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Registration Statement;</w:t>
            </w:r>
          </w:p>
        </w:tc>
      </w:tr>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form of the Indenture;</w:t>
            </w:r>
          </w:p>
        </w:tc>
      </w:tr>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Originals or copies of the Second Amended and Restated Certificate of Incorporation, as amended through the date hereof (the “</w:t>
            </w:r>
            <w:r>
              <w:rPr>
                <w:rFonts w:ascii="Times New Roman;Times;Serif" w:hAnsi="Times New Roman;Times;Serif"/>
                <w:b w:val="false"/>
                <w:i w:val="false"/>
                <w:caps w:val="false"/>
                <w:smallCaps w:val="false"/>
                <w:sz w:val="24"/>
                <w:u w:val="single"/>
              </w:rPr>
              <w:t>Certificate of Incorporation</w:t>
            </w:r>
            <w:r>
              <w:rPr>
                <w:rFonts w:ascii="Times New Roman;Times;Serif" w:hAnsi="Times New Roman;Times;Serif"/>
                <w:b w:val="false"/>
                <w:i w:val="false"/>
                <w:caps w:val="false"/>
                <w:smallCaps w:val="false"/>
                <w:sz w:val="24"/>
              </w:rPr>
              <w:t>”) and Amended and Restated Bylaws of the Company, as amended through the date hereof (the “</w:t>
            </w:r>
            <w:r>
              <w:rPr>
                <w:rFonts w:ascii="Times New Roman;Times;Serif" w:hAnsi="Times New Roman;Times;Serif"/>
                <w:b w:val="false"/>
                <w:i w:val="false"/>
                <w:caps w:val="false"/>
                <w:smallCaps w:val="false"/>
                <w:sz w:val="24"/>
                <w:u w:val="single"/>
              </w:rPr>
              <w:t>Bylaws</w:t>
            </w:r>
            <w:r>
              <w:rPr>
                <w:rFonts w:ascii="Times New Roman;Times;Serif" w:hAnsi="Times New Roman;Times;Serif"/>
                <w:b w:val="false"/>
                <w:i w:val="false"/>
                <w:caps w:val="false"/>
                <w:smallCaps w:val="false"/>
                <w:sz w:val="24"/>
              </w:rPr>
              <w:t>”); and</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120"/>
        <w:jc w:val="left"/>
        <w:rPr/>
      </w:pPr>
      <w:r>
        <w:rPr/>
        <w:t>Page 3 of 6</w:t>
      </w:r>
    </w:p>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Originals or copies of such other corporate records of the Company, certificates of public officials and of officers of the Company and agreements and other documents as we have deemed necessary as a basis for the opinions expressed below.</w:t>
            </w:r>
          </w:p>
        </w:tc>
      </w:tr>
    </w:tbl>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our review, we have assumed:</w:t>
      </w:r>
    </w:p>
    <w:p>
      <w:pPr>
        <w:pStyle w:val="TextBody"/>
        <w:bidi w:val="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75"/>
        <w:gridCol w:w="32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genuineness of all signatures.</w:t>
            </w:r>
          </w:p>
        </w:tc>
      </w:tr>
    </w:tbl>
    <w:p>
      <w:pPr>
        <w:pStyle w:val="TextBody"/>
        <w:bidi w:val="0"/>
        <w:ind w:left="72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290"/>
        <w:gridCol w:w="62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authenticity of the originals of the documents submitted to us.</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w:t>
            </w:r>
          </w:p>
        </w:tc>
        <w:tc>
          <w:tcPr>
            <w:tcW w:w="9879"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conformity to authentic originals of any documents submitted to us as copies.</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each of the Securities Documents is or will be the legal, valid and binding obligation of each party thereto, other than the Company, enforceable against each such party in accordance with its terms.</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to matters of fact, the truthfulness of the representations made in the certificates of public officials and officers of the Company.</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each of the Securities Documents, other than the Certificate of Designation, will be governed by New York Law.</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our opinions stated below, we assume that all of the following (collectively, the “general conditions”) shall have occurred prior to the issuance of the Securities referred to therein: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Registration Statement, as finally amended (including all necessary post-effective amendments), is effective under the Securities Act;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w:t>
            </w:r>
          </w:p>
        </w:tc>
        <w:tc>
          <w:tcPr>
            <w:tcW w:w="9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 appropriate prospectus supplement or term sheet with respect to such Securities has been prepared, delivered and filed in compliance with the Securities Act;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applicable Securities Documents and such other agreements necessary in connection with the issuance of such Securities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terms of the applicable Securities Documents and such other agreements necessary in connection with the issuance of such Securities and the issuance and sale of such Securities do not and will not:</w:t>
            </w:r>
          </w:p>
        </w:tc>
      </w:tr>
    </w:tbl>
    <w:p>
      <w:pPr>
        <w:pStyle w:val="TextBody"/>
        <w:bidi w:val="0"/>
        <w:ind w:left="72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40"/>
        <w:gridCol w:w="548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contravene the Certificate of Incorporation or the Bylaws;</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00"/>
        <w:gridCol w:w="61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ii.</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violate any law, rule or regulation applicable to the Company; or</w:t>
            </w:r>
          </w:p>
        </w:tc>
      </w:tr>
    </w:tbl>
    <w:p>
      <w:pPr>
        <w:pStyle w:val="TextBody"/>
        <w:bidi w:val="0"/>
        <w:ind w:left="144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60"/>
        <w:gridCol w:w="84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iii.</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result in any conflict with or breach of any agreement or document binding the Company.</w:t>
            </w:r>
          </w:p>
        </w:tc>
      </w:tr>
    </w:tbl>
    <w:p>
      <w:pPr>
        <w:pStyle w:val="TextBody"/>
        <w:bidi w:val="0"/>
        <w:ind w:left="72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120"/>
        <w:jc w:val="left"/>
        <w:rPr/>
      </w:pPr>
      <w:r>
        <w:rPr/>
        <w:t>Page 4 of 6</w:t>
      </w:r>
    </w:p>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 authorization, approval, consent or other action by, and no notice to or filing with, any governmental authority or regulatory body or any other third party is required for the due execution, delivery or performance by the Company of any of the Securities Documents to which the Company is a party or, if any such authorization, approval, consent, action, notice or filing is required, it has been duly obtained, taken, given or made and is in full force and effect.</w:t>
            </w:r>
          </w:p>
        </w:tc>
      </w:tr>
    </w:tbl>
    <w:p>
      <w:pPr>
        <w:pStyle w:val="TextBody"/>
        <w:bidi w:val="0"/>
        <w:ind w:left="72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have not independently established the validity of the foregoing assumptions.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4"/>
          <w:u w:val="single"/>
        </w:rPr>
        <w:t>Generally Applicable Law</w:t>
      </w:r>
      <w:r>
        <w:rPr>
          <w:rFonts w:ascii="Times New Roman;Times;Serif" w:hAnsi="Times New Roman;Times;Serif"/>
          <w:b w:val="false"/>
          <w:i w:val="false"/>
          <w:caps w:val="false"/>
          <w:smallCaps w:val="false"/>
          <w:sz w:val="24"/>
        </w:rPr>
        <w:t>” means the federal law of the United States of America, and the law of the State of New York (including the rules or regulations promulgated thereunder or pursuant thereto), that a New York lawyer exercising customary professional diligence would reasonably be expected to recognize as being applicable to the Company, the Securities Documents or the transactions governed by the Securities Documents, and, for purposes of our opinions in paragraphs 1 and 2 below, the General Corporation Law of the State of Delaware. Without limiting the generality of the foregoing definition of Generally Applicable Law, the term “Generally Applicable Law” does not include any law, rule or regulation that is applicable to the Company, the Securities Documents or such transactions solely because such law, rule or regulation is part of a regulatory regime applicable to any party to any of the Securities Documents or any of its affiliates due to the specific assets or business of such party or such affiliate.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Based upon the foregoing and upon such other investigation as we have deemed necessary and subject to the qualifications set forth below, we are of the opinion that: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When the general conditions have been satisfied and (i) the final terms of issuance and sale of the applicable shares of Common Stock have been duly approved by the Company in conformity with the Certificate of Incorporation, (ii) all corporate action necessary for issuance of the Common Stock has been taken, and (iii) such shares of Common Stock are issued and delivered to the purchasers thereof against payment of the consideration therefor duly approved by the Company, such shares of Common Stock will be duly authorized, validly issued, fully paid and non-assessable.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2.           When the general conditions have been satisfied and (i) the final terms of the Preferred Stock have been duly established and approved by the Company in conformity with the Certificate of Incorporation, (ii) certificates representing the Preferred Stock have been duly executed by the Company and such shares of Preferred Stock are issued and delivered to the purchasers thereof against payment of the consideration therefor duly approved by the Company, and (iii) all corporate action necessary for issuance of the Preferred Stock has been taken, including the adoption and filing of a certificate of designations relating thereto, the Preferred Stock will be duly authorized, validly issued, fully paid and non-assessable.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3.           When the general conditions have been satisfied and (i) the Debt Securities have been duly authorized, (ii) the final terms thereof have been duly established and approved in accordance with the applicable Indenture, (iii) the applicable Indenture has been duly executed, attested, issued, and delivered by duly authorized officers, and (iv) the Debt Securities have been duly executed by the Company and authenticated by the Trustee in accordance with the applicable Indenture, and delivered to the purchasers thereof against payment of the consideration therefor duly approved by the Company, the Debt Securities will be the legal, valid and binding obligations of the Company, enforceable against the Company, in accordance with their terms and entitled to the benefits of the applicable Indenture.</w:t>
      </w:r>
    </w:p>
    <w:p>
      <w:pPr>
        <w:pStyle w:val="TextBody"/>
        <w:bidi w:val="0"/>
        <w:ind w:left="0" w:right="0" w:firstLine="72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120"/>
        <w:jc w:val="left"/>
        <w:rPr/>
      </w:pPr>
      <w:r>
        <w:rPr/>
        <w:t>Page 5 of 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4.           When the general conditions have been satisfied and (i) the Warrants and the applicable Warrant Agreement have been duly authorized, (ii) the final terms of the Warrants have been duly established and approved and (iii) certificates representing the Warrants have been duly executed by the Company and countersigned by the applicable Warrant Agent in accordance with the applicable Warrant Agreement and delivered to and paid for by the purchasers thereof, the Warrants will be the legal, valid and binding obligations of the Company, enforceable against the Company in accordance with their terms and entitled to the benefits of the applicable Warrant Agreement, and the applicable Warrant Agreement will be the legal, valid and binding obligation of the Company, enforceable against the Company in accordance with its terms.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5.           When the general conditions have been satisfied and (i) the Rights and the applicable Rights Agreement have been duly authorized, (ii) the final terms of the Rights have been duly established and approved and (iii) certificates representing the Rights have been duly executed by the Company and countersigned by the applicable Rights Agent in accordance with the applicable Rights Agreement and delivered to and paid for by the purchasers thereof, the Rights will be the legal, valid and binding obligations of the Company, enforceable against the Company in accordance with their terms and entitled to the benefits of the applicable Rights Agreement, and the applicable Rights Agreement will be the legal, valid and binding obligation of the Company, enforceable against the Company in accordance with its terms.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6.           When the general conditions have been satisfied and (i) the Units and the applicable Unit Agreement have been duly authorized, (ii) the final terms of the Units have been duly established and approved and (iii) certificates representing the Units have been duly executed by the Company and countersigned by the applicable Units Agent in accordance with the applicable Unit Agreement and delivered to and paid for by the purchasers thereof, the Units will be the legal, valid and binding obligations of the Company, enforceable against the Company in accordance with their terms and entitled to the benefits of the applicable Unit Agreement, and the applicable Unit Agreement will be the legal, valid and binding obligation of the Company, enforceable against the Company in accordance with its terms.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opinions expressed above are subject to the following qualifications: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opinions in paragraphs 3, 4, 5 and 6 are subject to the effect of any applicable bankruptcy, insolvency, reorganization, moratorium or similar laws affecting creditors’ rights generally (including without limitation all laws relating to fraudulent transfers).</w:t>
            </w:r>
          </w:p>
        </w:tc>
      </w:tr>
    </w:tbl>
    <w:p>
      <w:pPr>
        <w:pStyle w:val="TextBody"/>
        <w:bidi w:val="0"/>
        <w:ind w:left="72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120"/>
        <w:jc w:val="left"/>
        <w:rPr/>
      </w:pPr>
      <w:r>
        <w:rPr/>
        <w:t>Page 6 of 6</w:t>
      </w:r>
    </w:p>
    <w:p>
      <w:pPr>
        <w:pStyle w:val="TextBody"/>
        <w:bidi w:val="0"/>
        <w:spacing w:before="0" w:after="0"/>
        <w:ind w:left="0" w:right="0" w:hanging="0"/>
        <w:jc w:val="left"/>
        <w:rPr/>
      </w:pPr>
      <w:r>
        <w:rPr/>
        <w:t> </w:t>
      </w:r>
    </w:p>
    <w:p>
      <w:pPr>
        <w:pStyle w:val="TextBody"/>
        <w:bidi w:val="0"/>
        <w:spacing w:lineRule="auto" w:line="276" w:before="0" w:after="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opinions in paragraphs 3, 4, 5 and 6 are also subject to the effect of general principles of equity, including without limitation concepts of materiality, reasonableness, good faith and fair dealing (regardless of whether considered in a proceeding in equity or at law).</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w:t>
            </w:r>
          </w:p>
        </w:tc>
        <w:tc>
          <w:tcPr>
            <w:tcW w:w="9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opinions are limited to Generally Applicable Law, and we do not express any opinion herein concerning any other law.</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opinion letter speaks only as of the date hereof. We expressly disclaim any responsibility to advise you of any development or circumstance of any kind, including any change of law or fact, that may occur after the date of this opinion letter that might affect the opinion expressed herein.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hereby consent to the filing of this opinion letter as an exhibit to the Registration Statement and to the use of our name therein and in the base prospectus under the caption “Legal Matters.” In giving this consent, we do not hereby admit that we are in the category of persons whose consent is required under Section 7 of the Act and the rules and regulations of the Commission promulgated thereunder.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Very truly yours,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 Allen Overy Shearman Sterling US LLP</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714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24"/>
                    <a:stretch>
                      <a:fillRect/>
                    </a:stretch>
                  </pic:blipFill>
                  <pic:spPr bwMode="auto">
                    <a:xfrm>
                      <a:off x="0" y="0"/>
                      <a:ext cx="1905000" cy="17145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7" w:name="ss6342442_ex2301.htm"/>
      <w:bookmarkStart w:id="28" w:name="ksss6342442_ex2301"/>
      <w:bookmarkEnd w:id="27"/>
      <w:bookmarkEnd w:id="28"/>
      <w:r>
        <w:rPr>
          <w:rFonts w:ascii="Times New Roman;Times;Serif" w:hAnsi="Times New Roman;Times;Serif"/>
          <w:b/>
          <w:i w:val="false"/>
          <w:caps w:val="false"/>
          <w:smallCaps w:val="false"/>
          <w:sz w:val="20"/>
        </w:rPr>
        <w:t>Exhibit 23.1</w:t>
      </w:r>
      <w:r>
        <w:br w:type="page"/>
      </w:r>
    </w:p>
    <w:p>
      <w:pPr>
        <w:pStyle w:val="TextBody"/>
        <w:bidi w:val="0"/>
        <w:jc w:val="right"/>
        <w:rPr>
          <w:caps w:val="false"/>
          <w:smallCaps w:val="false"/>
        </w:rPr>
      </w:pPr>
      <w:r>
        <w:rPr>
          <w:caps w:val="false"/>
          <w:smallCaps w:val="false"/>
        </w:rPr>
        <w:t> </w:t>
      </w:r>
    </w:p>
    <w:p>
      <w:pPr>
        <w:pStyle w:val="TextBody"/>
        <w:bidi w:val="0"/>
        <w:spacing w:before="8" w:after="283"/>
        <w:ind w:left="144" w:right="144" w:hanging="0"/>
        <w:jc w:val="left"/>
        <w:rPr>
          <w:caps w:val="false"/>
          <w:smallCaps w:val="false"/>
        </w:rPr>
      </w:pPr>
      <w:r>
        <w:rPr>
          <w:caps w:val="false"/>
          <w:smallCaps w:val="false"/>
        </w:rPr>
        <w:drawing>
          <wp:inline distT="0" distB="0" distL="0" distR="0">
            <wp:extent cx="1007110" cy="51181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25"/>
                    <a:stretch>
                      <a:fillRect/>
                    </a:stretch>
                  </pic:blipFill>
                  <pic:spPr bwMode="auto">
                    <a:xfrm>
                      <a:off x="0" y="0"/>
                      <a:ext cx="1007110" cy="511810"/>
                    </a:xfrm>
                    <a:prstGeom prst="rect">
                      <a:avLst/>
                    </a:prstGeom>
                  </pic:spPr>
                </pic:pic>
              </a:graphicData>
            </a:graphic>
          </wp:inline>
        </w:drawing>
      </w: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KPMG LLP</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2755 Augustine Drive</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Suite 701</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Santa Clara, CA 95054</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bl>
    <w:p>
      <w:pPr>
        <w:pStyle w:val="TextBody"/>
        <w:bidi w:val="0"/>
        <w:spacing w:before="8" w:after="283"/>
        <w:jc w:val="center"/>
        <w:rPr>
          <w:caps w:val="false"/>
          <w:smallCaps w:val="false"/>
        </w:rPr>
      </w:pPr>
      <w:r>
        <w:rPr>
          <w:caps w:val="false"/>
          <w:smallCaps w:val="false"/>
        </w:rPr>
        <w:t> </w:t>
      </w:r>
    </w:p>
    <w:p>
      <w:pPr>
        <w:pStyle w:val="TextBody"/>
        <w:bidi w:val="0"/>
        <w:spacing w:before="8" w:after="283"/>
        <w:jc w:val="center"/>
        <w:rPr>
          <w:caps w:val="false"/>
          <w:smallCaps w:val="false"/>
        </w:rPr>
      </w:pPr>
      <w:r>
        <w:rPr>
          <w:caps w:val="false"/>
          <w:smallCaps w:val="false"/>
        </w:rPr>
        <w:t> </w:t>
      </w:r>
    </w:p>
    <w:p>
      <w:pPr>
        <w:pStyle w:val="TextBody"/>
        <w:bidi w:val="0"/>
        <w:spacing w:before="8"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Consent Of Independent Registered Public Accounting Firm</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use of our report dated March 18, 2026, with respect to the consolidated financial statements of AEye, Inc., incorporated herein by reference, and to the reference to our firm under the heading “Experts” in the prospectus.</w:t>
      </w:r>
    </w:p>
    <w:p>
      <w:pPr>
        <w:pStyle w:val="TextBody"/>
        <w:bidi w:val="0"/>
        <w:ind w:left="144" w:right="144" w:hanging="0"/>
        <w:jc w:val="both"/>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KPMG LLP</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Santa Clara, California</w:t>
      </w:r>
    </w:p>
    <w:p>
      <w:pPr>
        <w:pStyle w:val="TextBody"/>
        <w:bidi w:val="0"/>
        <w:ind w:left="144" w:right="144"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May 19, 2026</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144" w:right="144" w:hanging="0"/>
        <w:jc w:val="both"/>
        <w:rPr>
          <w:caps w:val="false"/>
          <w:smallCaps w:val="false"/>
        </w:rPr>
      </w:pPr>
      <w:r>
        <w:rPr>
          <w:caps w:val="false"/>
          <w:smallCaps w:val="false"/>
        </w:rPr>
        <w:t> </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KPMG LLP, a Delaware limited liability partnership, and its subsidiaries are part of</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KPMG global organization of independent member firms affiliated with KPMG</w:t>
      </w:r>
    </w:p>
    <w:p>
      <w:pPr>
        <w:pStyle w:val="TextBody"/>
        <w:bidi w:val="0"/>
        <w:ind w:left="2640" w:right="144"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International Limited, a private English company limited by guarantee.</w:t>
      </w:r>
    </w:p>
    <w:p>
      <w:pPr>
        <w:pStyle w:val="TextBody"/>
        <w:bidi w:val="0"/>
        <w:ind w:left="144" w:right="144" w:hanging="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ind w:left="144" w:right="144"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29" w:name="ss6342442_ex107.htm"/>
      <w:bookmarkStart w:id="30" w:name="ksss6342442_ex107"/>
      <w:bookmarkEnd w:id="29"/>
      <w:bookmarkEnd w:id="30"/>
      <w:r>
        <w:rPr>
          <w:rFonts w:ascii="Times New Roman;Times;Serif" w:hAnsi="Times New Roman;Times;Serif"/>
          <w:b/>
          <w:i w:val="false"/>
          <w:caps w:val="false"/>
          <w:smallCaps w:val="false"/>
          <w:sz w:val="24"/>
        </w:rPr>
        <w:t>Exhibit 107</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AEye,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4780" w:type="dxa"/>
        <w:jc w:val="left"/>
        <w:tblInd w:w="0" w:type="dxa"/>
        <w:tblLayout w:type="fixed"/>
        <w:tblCellMar>
          <w:top w:w="0" w:type="dxa"/>
          <w:left w:w="0" w:type="dxa"/>
          <w:bottom w:w="0" w:type="dxa"/>
          <w:right w:w="0" w:type="dxa"/>
        </w:tblCellMar>
      </w:tblPr>
      <w:tblGrid>
        <w:gridCol w:w="1040"/>
        <w:gridCol w:w="60"/>
        <w:gridCol w:w="1160"/>
        <w:gridCol w:w="60"/>
        <w:gridCol w:w="935"/>
        <w:gridCol w:w="60"/>
        <w:gridCol w:w="1100"/>
        <w:gridCol w:w="60"/>
        <w:gridCol w:w="1025"/>
        <w:gridCol w:w="60"/>
        <w:gridCol w:w="178"/>
        <w:gridCol w:w="817"/>
        <w:gridCol w:w="60"/>
        <w:gridCol w:w="140"/>
        <w:gridCol w:w="1520"/>
        <w:gridCol w:w="200"/>
        <w:gridCol w:w="1040"/>
        <w:gridCol w:w="60"/>
        <w:gridCol w:w="140"/>
        <w:gridCol w:w="1160"/>
        <w:gridCol w:w="60"/>
        <w:gridCol w:w="830"/>
        <w:gridCol w:w="60"/>
        <w:gridCol w:w="830"/>
        <w:gridCol w:w="60"/>
        <w:gridCol w:w="875"/>
        <w:gridCol w:w="60"/>
        <w:gridCol w:w="502"/>
        <w:gridCol w:w="628"/>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or Carry Forward 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20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Amount of Registration Fee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Form Type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File Number</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left"/>
              <w:rPr/>
            </w:pPr>
            <w:r>
              <w:rPr/>
              <w:t>Carry Forward Initial Effective Date</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left"/>
              <w:rPr/>
            </w:pPr>
            <w:r>
              <w:rPr/>
              <w:t>Filing Fee Previously Paid in Connection with</w:t>
              <w:br/>
              <w:t>Unsold Securities</w:t>
              <w:br/>
              <w:t>to be</w:t>
              <w:br/>
              <w:t>Carried Forward</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14780" w:type="dxa"/>
            <w:gridSpan w:val="29"/>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Preferred Stock, par value $0.0001 per share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(1)</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r>
              <w:rPr/>
              <w:t>(1)</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Rule 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r>
              <w:rPr/>
              <w:t>(2)</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r>
              <w:rPr/>
              <w:t>(3)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200" w:type="dxa"/>
            <w:tcBorders/>
            <w:vAlign w:val="center"/>
          </w:tcPr>
          <w:p>
            <w:pPr>
              <w:pStyle w:val="TableContents"/>
              <w:bidi w:val="0"/>
              <w:spacing w:before="0" w:after="283"/>
              <w:jc w:val="left"/>
              <w:rPr/>
            </w:pPr>
            <w:r>
              <w:rPr/>
              <w:t> </w:t>
            </w:r>
            <w:r>
              <w:rPr/>
              <w:t>$</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27,620.00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4780" w:type="dxa"/>
            <w:gridSpan w:val="29"/>
            <w:tcBorders/>
            <w:vAlign w:val="center"/>
          </w:tcPr>
          <w:p>
            <w:pPr>
              <w:pStyle w:val="TableContents"/>
              <w:bidi w:val="0"/>
              <w:spacing w:before="0" w:after="283"/>
              <w:jc w:val="center"/>
              <w:rPr>
                <w:i/>
              </w:rPr>
            </w:pPr>
            <w:r>
              <w:rPr>
                <w:i/>
              </w:rPr>
              <w:t>Carry Forward Securities</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520" w:type="dxa"/>
            <w:tcBorders>
              <w:top w:val="single" w:sz="8" w:space="0" w:color="000000"/>
            </w:tcBorders>
            <w:tcMar>
              <w:top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1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6555"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27,620.00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6555" w:type="dxa"/>
            <w:gridSpan w:val="12"/>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6555"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r>
        <w:trPr/>
        <w:tc>
          <w:tcPr>
            <w:tcW w:w="6555"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tcMar>
              <w:bottom w:w="28" w:type="dxa"/>
            </w:tcMar>
            <w:vAlign w:val="center"/>
          </w:tcPr>
          <w:p>
            <w:pPr>
              <w:pStyle w:val="TableContents"/>
              <w:bidi w:val="0"/>
              <w:spacing w:before="0" w:after="283"/>
              <w:jc w:val="right"/>
              <w:rPr/>
            </w:pPr>
            <w:r>
              <w:rPr/>
              <w:t>27,620.00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74"/>
        <w:gridCol w:w="23"/>
        <w:gridCol w:w="9908"/>
      </w:tblGrid>
      <w:tr>
        <w:trPr/>
        <w:tc>
          <w:tcPr>
            <w:tcW w:w="27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08" w:type="dxa"/>
            <w:tcBorders/>
            <w:vAlign w:val="center"/>
          </w:tcPr>
          <w:p>
            <w:pPr>
              <w:pStyle w:val="TableContents"/>
              <w:bidi w:val="0"/>
              <w:spacing w:before="0" w:after="283"/>
              <w:jc w:val="both"/>
              <w:rPr/>
            </w:pPr>
            <w:r>
              <w:rPr/>
              <w:t>Separate consideration may or may not be received for securities that are issuable upon the conversion or exercise of, or in exchange for, other securities offered hereby.</w:t>
            </w:r>
          </w:p>
        </w:tc>
      </w:tr>
    </w:tbl>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pPr>
            <w:r>
              <w:rPr/>
              <w:t>The Registrant is registering hereunder such indeterminate number of shares of common stock and preferred stock, such indeterminate number of warrants to purchase common stock or preferred stock, such indeterminate number of rights to purchase common stock or preferred stock, and such units composed of any combination of common stock, preferred stock, rights or warrants, to be sold by the Registrant from time to time at unspecified prices which shall have an aggregate initial offering price not to exceed $200,000,000. The securities registered for sale also include such indeterminate number of shares of common stock that may be issued upon conversion of preferred stock and such indeterminate number of shares of common stock and preferred stock that may be issued upon exercise of rights or warrants, sale of units or pursuant to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tc>
      </w:tr>
    </w:tbl>
    <w:tbl>
      <w:tblPr>
        <w:tblW w:w="10205" w:type="dxa"/>
        <w:jc w:val="left"/>
        <w:tblInd w:w="0" w:type="dxa"/>
        <w:tblLayout w:type="fixed"/>
        <w:tblCellMar>
          <w:top w:w="0" w:type="dxa"/>
          <w:left w:w="0" w:type="dxa"/>
          <w:bottom w:w="0" w:type="dxa"/>
          <w:right w:w="0" w:type="dxa"/>
        </w:tblCellMar>
      </w:tblPr>
      <w:tblGrid>
        <w:gridCol w:w="248"/>
        <w:gridCol w:w="23"/>
        <w:gridCol w:w="9934"/>
      </w:tblGrid>
      <w:tr>
        <w:trPr/>
        <w:tc>
          <w:tcPr>
            <w:tcW w:w="248"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both"/>
              <w:rPr/>
            </w:pPr>
            <w:r>
              <w:rPr/>
              <w:t>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tc>
      </w:tr>
    </w:tbl>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pPr>
            <w:r>
              <w:rPr/>
              <w:t> </w:t>
            </w:r>
          </w:p>
        </w:tc>
      </w:tr>
    </w:tbl>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pPr>
            <w:r>
              <w:rPr/>
              <w:t> </w:t>
            </w:r>
          </w:p>
        </w:tc>
      </w:tr>
    </w:tbl>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pPr>
            <w:r>
              <w:rPr/>
              <w:t> </w:t>
            </w:r>
          </w:p>
        </w:tc>
      </w:tr>
    </w:tbl>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 w:name="Arial Narrow">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8644/000143774926008858/0001437749-26-008858-index.htm" TargetMode="External"/><Relationship Id="rId4" Type="http://schemas.openxmlformats.org/officeDocument/2006/relationships/hyperlink" Target="https://www.sec.gov/Archives/edgar/data/1818644/000143774926017094/0001437749-26-017094-index.htm" TargetMode="External"/><Relationship Id="rId5" Type="http://schemas.openxmlformats.org/officeDocument/2006/relationships/hyperlink" Target="https://www.sec.gov/Archives/edgar/data/1818644/000110465926036805/0001104659-26-036805-index.htm" TargetMode="External"/><Relationship Id="rId6" Type="http://schemas.openxmlformats.org/officeDocument/2006/relationships/hyperlink" Target="https://www.sec.gov/Archives/edgar/data/1818644/000121390026014883/0001213900-26-014883-index.htm" TargetMode="External"/><Relationship Id="rId7" Type="http://schemas.openxmlformats.org/officeDocument/2006/relationships/hyperlink" Target="https://www.sec.gov/Archives/edgar/data/1818644/000121390026052513/0001213900-26-052513-index.htm" TargetMode="External"/><Relationship Id="rId8" Type="http://schemas.openxmlformats.org/officeDocument/2006/relationships/hyperlink" Target="https://www.sec.gov/Archives/edgar/data/1818644/000121390026055184/0001213900-26-055184-index.htm" TargetMode="External"/><Relationship Id="rId9" Type="http://schemas.openxmlformats.org/officeDocument/2006/relationships/hyperlink" Target="https://www.sec.gov/Archives/edgar/data/1818644/000121390026057703/0001213900-26-057703-index.htm" TargetMode="External"/><Relationship Id="rId10" Type="http://schemas.openxmlformats.org/officeDocument/2006/relationships/image" Target="media/image1.jpeg"/><Relationship Id="rId11" Type="http://schemas.openxmlformats.org/officeDocument/2006/relationships/hyperlink" Target="https://www.sec.gov/Archives/edgar/data/1818644/000119312521253301/d188241dex31.htm" TargetMode="External"/><Relationship Id="rId12" Type="http://schemas.openxmlformats.org/officeDocument/2006/relationships/hyperlink" Target="https://www.sec.gov/Archives/edgar/data/1818644/000181864423000006/exhibit32amendmentofcertif.htm" TargetMode="External"/><Relationship Id="rId13" Type="http://schemas.openxmlformats.org/officeDocument/2006/relationships/hyperlink" Target="https://www.sec.gov/Archives/edgar/data/1818644/000094787123001187/ss2860285_ex0301.htm" TargetMode="External"/><Relationship Id="rId14" Type="http://schemas.openxmlformats.org/officeDocument/2006/relationships/hyperlink" Target="https://www.sec.gov/Archives/edgar/data/1818644/000094787125000292/ss4549215_ex0301.htm" TargetMode="External"/><Relationship Id="rId15" Type="http://schemas.openxmlformats.org/officeDocument/2006/relationships/hyperlink" Target="https://www.sec.gov/Archives/edgar/data/1818644/000094787121001285/ss682453_ex0401.htm" TargetMode="External"/><Relationship Id="rId16" Type="http://schemas.openxmlformats.org/officeDocument/2006/relationships/hyperlink" Target="https://www.sec.gov/Archives/edgar/data/1818644/000094787124000640/ss3682127_ex0401.htm" TargetMode="External"/><Relationship Id="rId17" Type="http://schemas.openxmlformats.org/officeDocument/2006/relationships/hyperlink" Target="https://www.sec.gov/Archives/edgar/data/1818644/000094787125000004/ss4290690_ex1002.htm" TargetMode="External"/><Relationship Id="rId18" Type="http://schemas.openxmlformats.org/officeDocument/2006/relationships/hyperlink" Target="https://www.sec.gov/Archives/edgar/data/1818644/000094787125000004/ss4290690_ex0401.htm" TargetMode="External"/><Relationship Id="rId19" Type="http://schemas.openxmlformats.org/officeDocument/2006/relationships/hyperlink" Target="https://www.sec.gov/Archives/edgar/data/1818644/000094787125000004/ss4290690_ex0402.htm" TargetMode="External"/><Relationship Id="rId20" Type="http://schemas.openxmlformats.org/officeDocument/2006/relationships/hyperlink" Target="https://www.sec.gov/Archives/edgar/data/1818644/000181864422000008/exhibit45descriptionofsecu.htm" TargetMode="External"/><Relationship Id="rId21" Type="http://schemas.openxmlformats.org/officeDocument/2006/relationships/hyperlink" Target="https://www.sec.gov/Archives/edgar/data/1818644/000094787125000731/ss5190700_ex0404.htm" TargetMode="External"/><Relationship Id="rId22" Type="http://schemas.openxmlformats.org/officeDocument/2006/relationships/hyperlink" Target="https://www.sec.gov/Archives/edgar/data/1818644/000094787125000731/ss5190700_ex0405.htm" TargetMode="External"/><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67950</Words>
  <Characters>349480</Characters>
  <CharactersWithSpaces>417834</CharactersWithSpaces>
  <Paragraphs>6086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