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3511-8k_aeye.htm"/>
      <w:bookmarkStart w:id="1" w:name="ksea02935118k_aey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6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June 1,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4" w:name="xdx_90E_edei--EntityRegistrantName_c2026"/>
      <w:bookmarkEnd w:id="4"/>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70" w:type="dxa"/>
        <w:jc w:val="left"/>
        <w:tblInd w:w="0" w:type="dxa"/>
        <w:tblLayout w:type="fixed"/>
        <w:tblCellMar>
          <w:top w:w="0" w:type="dxa"/>
          <w:left w:w="0" w:type="dxa"/>
          <w:bottom w:w="28" w:type="dxa"/>
          <w:right w:w="0" w:type="dxa"/>
        </w:tblCellMar>
      </w:tblPr>
      <w:tblGrid>
        <w:gridCol w:w="2165"/>
        <w:gridCol w:w="60"/>
        <w:gridCol w:w="2210"/>
        <w:gridCol w:w="60"/>
        <w:gridCol w:w="177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A_edei--EntityFileNumber_c20260601"/>
            <w:bookmarkEnd w:id="6"/>
            <w:r>
              <w:rPr>
                <w:b/>
                <w:sz w:val="20"/>
              </w:rPr>
              <w:t>001-39699</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37-1827430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sz w:val="20"/>
              </w:rPr>
            </w:pPr>
            <w:r>
              <w:rPr>
                <w:sz w:val="20"/>
              </w:rPr>
              <w:t xml:space="preserve">(IRS Employer </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12" w:space="0" w:color="000000"/>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4670 Willow Road, </w:t>
            </w:r>
            <w:bookmarkStart w:id="9" w:name="xdx_903_edei--EntityAddressAddressLine2_"/>
            <w:bookmarkEnd w:id="9"/>
            <w:r>
              <w:rPr>
                <w:b/>
                <w:sz w:val="20"/>
              </w:rPr>
              <w:t xml:space="preserve">Suite 125, </w:t>
            </w:r>
            <w:bookmarkStart w:id="10" w:name="xdx_900_edei--EntityAddressCityOrTown_c2"/>
            <w:bookmarkEnd w:id="10"/>
            <w:r>
              <w:rPr>
                <w:b/>
                <w:sz w:val="20"/>
              </w:rPr>
              <w:t xml:space="preserve">Pleasanton, </w:t>
            </w:r>
            <w:bookmarkStart w:id="11" w:name="xdx_90A_edei--EntityAddressStateOrProvin"/>
            <w:bookmarkEnd w:id="11"/>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2_edei--EntityAddressPostalZipCode"/>
            <w:bookmarkEnd w:id="12"/>
            <w:r>
              <w:rPr>
                <w:b/>
                <w:sz w:val="20"/>
              </w:rPr>
              <w:t>94588</w:t>
            </w:r>
          </w:p>
        </w:tc>
      </w:tr>
      <w:tr>
        <w:trPr/>
        <w:tc>
          <w:tcPr>
            <w:tcW w:w="44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2_edei--CityAreaCode_c20260601__20"/>
      <w:bookmarkEnd w:id="13"/>
      <w:r>
        <w:rPr>
          <w:rFonts w:ascii="Times New Roman;Times;Serif" w:hAnsi="Times New Roman;Times;Serif"/>
          <w:b/>
          <w:i w:val="false"/>
          <w:caps w:val="false"/>
          <w:smallCaps w:val="false"/>
          <w:sz w:val="20"/>
        </w:rPr>
        <w:t xml:space="preserve">925) </w:t>
      </w:r>
      <w:bookmarkStart w:id="14" w:name="xdx_90F_edei--LocalPhoneNumber_c20260601"/>
      <w:bookmarkEnd w:id="14"/>
      <w:r>
        <w:rPr>
          <w:rFonts w:ascii="Times New Roman;Times;Serif" w:hAnsi="Times New Roman;Times;Serif"/>
          <w:b/>
          <w:i w:val="false"/>
          <w:caps w:val="false"/>
          <w:smallCaps w:val="false"/>
          <w:sz w:val="20"/>
        </w:rPr>
        <w:t>400-4366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E_edei--SolicitingMaterial_c202606"/>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28" w:type="dxa"/>
          <w:right w:w="0" w:type="dxa"/>
        </w:tblCellMar>
      </w:tblPr>
      <w:tblGrid>
        <w:gridCol w:w="3920"/>
        <w:gridCol w:w="60"/>
        <w:gridCol w:w="1610"/>
        <w:gridCol w:w="60"/>
        <w:gridCol w:w="3710"/>
      </w:tblGrid>
      <w:tr>
        <w:trPr/>
        <w:tc>
          <w:tcPr>
            <w:tcW w:w="39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920" w:type="dxa"/>
            <w:tcBorders/>
            <w:shd w:fill="CCEEFF" w:val="clear"/>
            <w:tcMar>
              <w:bottom w:w="0" w:type="dxa"/>
            </w:tcMar>
            <w:vAlign w:val="center"/>
          </w:tcPr>
          <w:p>
            <w:pPr>
              <w:pStyle w:val="TableContents"/>
              <w:bidi w:val="0"/>
              <w:spacing w:before="0" w:after="283"/>
              <w:jc w:val="center"/>
              <w:rPr>
                <w:sz w:val="20"/>
              </w:rPr>
            </w:pPr>
            <w:bookmarkStart w:id="19" w:name="xdx_905_edei--Security12bTitle_c20260601"/>
            <w:bookmarkEnd w:id="19"/>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0_edei--TradingSymbol_c20260601__2"/>
            <w:bookmarkEnd w:id="20"/>
            <w:r>
              <w:rPr>
                <w:sz w:val="20"/>
              </w:rPr>
              <w:t>LIDR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C_edei--SecurityExchangeName_c2026"/>
            <w:bookmarkEnd w:id="21"/>
            <w:r>
              <w:rPr>
                <w:sz w:val="20"/>
              </w:rPr>
              <w:t>Nasdaq Stock Market LLC</w:t>
            </w:r>
          </w:p>
        </w:tc>
      </w:tr>
      <w:tr>
        <w:trPr/>
        <w:tc>
          <w:tcPr>
            <w:tcW w:w="3920" w:type="dxa"/>
            <w:tcBorders/>
            <w:shd w:fill="FFFFFF" w:val="clear"/>
            <w:tcMar>
              <w:bottom w:w="0" w:type="dxa"/>
            </w:tcMar>
            <w:vAlign w:val="center"/>
          </w:tcPr>
          <w:p>
            <w:pPr>
              <w:pStyle w:val="TableContents"/>
              <w:bidi w:val="0"/>
              <w:spacing w:before="0" w:after="283"/>
              <w:jc w:val="center"/>
              <w:rPr>
                <w:sz w:val="20"/>
              </w:rPr>
            </w:pPr>
            <w:bookmarkStart w:id="22" w:name="xdx_902_edei--Security12bTitle_c20260601"/>
            <w:bookmarkEnd w:id="22"/>
            <w:r>
              <w:rPr>
                <w:sz w:val="20"/>
              </w:rPr>
              <w:t>Warrants to receive one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3" w:name="xdx_903_edei--TradingSymbol_c20260601__2"/>
            <w:bookmarkEnd w:id="23"/>
            <w:r>
              <w:rPr>
                <w:sz w:val="20"/>
              </w:rPr>
              <w:t>LIDRW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9_edei--SecurityExchangeName_c2026"/>
            <w:bookmarkEnd w:id="24"/>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of Management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the Compensation Committee (the “Committee”) of the Board of Directors (the “Board”) of AEye, Inc. (the “Company”), as part of its ongoing review of the Company’s executive compensation and retention programs, approved changes and made recommendations regarding certain aspects of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Adoption of Amended and Restated Change in Control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the Committee, ratified the adoption of a form of an Amended and Restated Change in Control Severance Agreement (the “Amended Severance Agreement”) to be entered into with eligible participants and authorized the Company to enter into the Amended Severance Agreement with Conor Tierney, the Company’s Chief Financial Officer, which will provide, in the case of a Unilateral Termination, as defined below, Mr. Tierney with a severance payment equal to his base salary for twelve (12) months and payment of group health insurance coverage for an equal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Severance Agreement did not materially modify any of the severance payments and benefits associated with a “change in control” (as defined in the Amended Severance Agreement), however, the Amended Severance Agreement now provides for severance payments and benefits in the event that the participant: (i) voluntarily resigns for “good reason” (as defined in the Amended Severance Agreement) or (ii) is involuntary terminated by the Company without “cause” (as defined in the Amended Severance Agreement), and such separation from service does not occur in connection with, or within a specified period of time following, a “change in control” (each, a “Unilateral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Unilateral Termination, and subject to his or her satisfaction of the conditions to severance described below, an eligible participant, including our named executive officers, would be entitled to receive: (i) a severance payment equal to a percentage of such participant’s base salary; and (ii) payment of group health insurance coverage for an equal period of time following the Unilateral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any participant’s receipt of severance benefits under the Amended Severance Agreement, the participant must sign a general waiver and release of claims, the form of which is attached as an exhibit to the Amended Severance Agreement, confirm his or her obligations under the Company’s standard form of proprietary information agreement, and allow the recission period to expire and the waiver and release of claims to become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Amended Severance Agreement is not complete and is qualified in its entirety by reference to the full text of the Form of Amended and Restated Change in Control Severance Agreement, which was filed as Exhibit 10.1 to the Company’s Current Report on Form 8-K filed with the Securities and Exchange Commission on May 15, 2026, and is incorporated into this Item 5.02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60"/>
        <w:gridCol w:w="9330"/>
      </w:tblGrid>
      <w:tr>
        <w:trPr/>
        <w:tc>
          <w:tcPr>
            <w:tcW w:w="815" w:type="dxa"/>
            <w:tcBorders>
              <w:bottom w:val="single" w:sz="12" w:space="0" w:color="000000"/>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30" w:type="dxa"/>
            <w:tcBorders>
              <w:bottom w:val="single" w:sz="12" w:space="0" w:color="000000"/>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Description</w:t>
            </w:r>
          </w:p>
        </w:tc>
      </w:tr>
      <w:tr>
        <w:trPr/>
        <w:tc>
          <w:tcPr>
            <w:tcW w:w="8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30" w:type="dxa"/>
            <w:tcBorders/>
            <w:tcMar>
              <w:bottom w:w="0" w:type="dxa"/>
            </w:tcMar>
            <w:vAlign w:val="center"/>
          </w:tcPr>
          <w:p>
            <w:pPr>
              <w:pStyle w:val="TableContents"/>
              <w:bidi w:val="0"/>
              <w:spacing w:before="0" w:after="283"/>
              <w:jc w:val="left"/>
              <w:rPr/>
            </w:pPr>
            <w:r>
              <w:rPr/>
              <w:t> </w:t>
            </w:r>
          </w:p>
        </w:tc>
      </w:tr>
      <w:tr>
        <w:trPr/>
        <w:tc>
          <w:tcPr>
            <w:tcW w:w="815"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r:id="rId2">
              <w:r>
                <w:rPr>
                  <w:rStyle w:val="InternetLink"/>
                </w:rPr>
                <w:t>Form of Amended and Restated Change in Control Severance Agreement (incorporated by reference to Exhibit 10.1 to the Company’s Current Report on Form 8-K (File No. 001-39699) filed with the Securities and Exchange Commission on May 15, 2026).</w:t>
              </w:r>
            </w:hyperlink>
          </w:p>
        </w:tc>
      </w:tr>
      <w:tr>
        <w:trPr/>
        <w:tc>
          <w:tcPr>
            <w:tcW w:w="8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r>
              <w:rPr/>
              <w:t> </w:t>
            </w:r>
          </w:p>
        </w:tc>
      </w:tr>
      <w:tr>
        <w:trPr/>
        <w:tc>
          <w:tcPr>
            <w:tcW w:w="81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504"/>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04"/>
        <w:jc w:val="left"/>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655"/>
        <w:gridCol w:w="320"/>
        <w:gridCol w:w="1895"/>
      </w:tblGrid>
      <w:tr>
        <w:trPr/>
        <w:tc>
          <w:tcPr>
            <w:tcW w:w="1655" w:type="dxa"/>
            <w:tcBorders/>
            <w:vAlign w:val="center"/>
          </w:tcPr>
          <w:p>
            <w:pPr>
              <w:pStyle w:val="TableContents"/>
              <w:bidi w:val="0"/>
              <w:spacing w:before="0" w:after="283"/>
              <w:jc w:val="left"/>
              <w:rPr>
                <w:sz w:val="4"/>
                <w:szCs w:val="4"/>
              </w:rPr>
            </w:pPr>
            <w:r>
              <w:rPr>
                <w:sz w:val="4"/>
                <w:szCs w:val="4"/>
              </w:rPr>
            </w:r>
          </w:p>
        </w:tc>
        <w:tc>
          <w:tcPr>
            <w:tcW w:w="2215" w:type="dxa"/>
            <w:gridSpan w:val="2"/>
            <w:tcBorders/>
            <w:vAlign w:val="center"/>
          </w:tcPr>
          <w:p>
            <w:pPr>
              <w:pStyle w:val="TableContents"/>
              <w:bidi w:val="0"/>
              <w:spacing w:before="0" w:after="283"/>
              <w:jc w:val="left"/>
              <w:rPr>
                <w:b/>
                <w:sz w:val="20"/>
              </w:rPr>
            </w:pPr>
            <w:r>
              <w:rPr>
                <w:b/>
                <w:sz w:val="20"/>
              </w:rPr>
              <w:t>AEye, Inc.</w:t>
            </w:r>
          </w:p>
        </w:tc>
      </w:tr>
      <w:tr>
        <w:trPr/>
        <w:tc>
          <w:tcPr>
            <w:tcW w:w="165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Dated: June 3, 2026</w:t>
            </w:r>
          </w:p>
        </w:tc>
        <w:tc>
          <w:tcPr>
            <w:tcW w:w="221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Conor Tierney</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Conor Tierney</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644/000121390026057703/ea029091801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911</Words>
  <Characters>5019</Characters>
  <CharactersWithSpaces>5936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